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cs="Arial"/>
          <w:b/>
          <w:sz w:val="24"/>
          <w:szCs w:val="24"/>
          <w:lang w:val="en-US" w:eastAsia="zh-CN"/>
        </w:rPr>
        <w:t xml:space="preserve">8                                    </w:t>
      </w:r>
      <w:bookmarkStart w:id="2" w:name="_GoBack"/>
      <w:r>
        <w:rPr>
          <w:rFonts w:hint="eastAsia" w:ascii="Arial" w:hAnsi="Arial" w:cs="Arial"/>
          <w:b/>
          <w:sz w:val="24"/>
          <w:szCs w:val="24"/>
        </w:rPr>
        <w:t>R4-23</w:t>
      </w:r>
      <w:r>
        <w:rPr>
          <w:rFonts w:hint="eastAsia" w:ascii="Arial" w:hAnsi="Arial" w:cs="Arial"/>
          <w:b/>
          <w:sz w:val="24"/>
          <w:szCs w:val="24"/>
          <w:lang w:val="en-US" w:eastAsia="zh-CN"/>
        </w:rPr>
        <w:t>12050</w:t>
      </w:r>
      <w:bookmarkEnd w:id="2"/>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hint="eastAsia" w:ascii="Arial" w:hAnsi="Arial" w:cs="Arial"/>
          <w:b/>
          <w:sz w:val="24"/>
          <w:szCs w:val="24"/>
          <w:lang w:val="en-US" w:eastAsia="zh-CN"/>
        </w:rPr>
        <w:t>Toulouse</w:t>
      </w:r>
      <w:r>
        <w:rPr>
          <w:rFonts w:ascii="Arial" w:hAnsi="Arial" w:eastAsia="宋体" w:cs="Arial"/>
          <w:b/>
          <w:sz w:val="24"/>
          <w:szCs w:val="24"/>
          <w:lang w:eastAsia="zh-CN"/>
        </w:rPr>
        <w:t xml:space="preserve">, </w:t>
      </w:r>
      <w:r>
        <w:rPr>
          <w:rFonts w:hint="eastAsia" w:ascii="Arial" w:hAnsi="Arial" w:cs="Arial"/>
          <w:b/>
          <w:sz w:val="24"/>
          <w:szCs w:val="24"/>
          <w:lang w:val="en-US" w:eastAsia="zh-CN"/>
        </w:rPr>
        <w:t>France</w:t>
      </w:r>
      <w:r>
        <w:rPr>
          <w:rFonts w:ascii="Arial" w:hAnsi="Arial" w:eastAsia="宋体" w:cs="Arial"/>
          <w:b/>
          <w:sz w:val="24"/>
          <w:szCs w:val="24"/>
          <w:lang w:eastAsia="zh-CN"/>
        </w:rPr>
        <w:t>,</w:t>
      </w:r>
      <w:r>
        <w:rPr>
          <w:rFonts w:hint="eastAsia" w:ascii="Arial" w:hAnsi="Arial" w:cs="Arial"/>
          <w:b/>
          <w:sz w:val="24"/>
          <w:szCs w:val="24"/>
          <w:lang w:val="en-US" w:eastAsia="zh-CN"/>
        </w:rPr>
        <w:t xml:space="preserve"> August</w:t>
      </w:r>
      <w:r>
        <w:rPr>
          <w:rFonts w:ascii="Arial" w:hAnsi="Arial" w:eastAsia="宋体" w:cs="Arial"/>
          <w:b/>
          <w:sz w:val="24"/>
          <w:szCs w:val="24"/>
          <w:lang w:eastAsia="zh-CN"/>
        </w:rPr>
        <w:t xml:space="preserve"> </w:t>
      </w:r>
      <w:r>
        <w:rPr>
          <w:rFonts w:hint="eastAsia" w:ascii="Arial" w:hAnsi="Arial" w:cs="Arial"/>
          <w:b/>
          <w:sz w:val="24"/>
          <w:szCs w:val="24"/>
          <w:lang w:val="en-US" w:eastAsia="zh-CN"/>
        </w:rPr>
        <w:t>21</w:t>
      </w:r>
      <w:r>
        <w:rPr>
          <w:rFonts w:ascii="Arial" w:hAnsi="Arial" w:eastAsia="宋体" w:cs="Arial"/>
          <w:b/>
          <w:sz w:val="24"/>
          <w:szCs w:val="24"/>
          <w:lang w:eastAsia="zh-CN"/>
        </w:rPr>
        <w:t xml:space="preserve"> – </w:t>
      </w:r>
      <w:r>
        <w:rPr>
          <w:rFonts w:hint="eastAsia" w:ascii="Arial" w:hAnsi="Arial" w:cs="Arial"/>
          <w:b/>
          <w:sz w:val="24"/>
          <w:szCs w:val="24"/>
          <w:lang w:val="en-US" w:eastAsia="zh-CN"/>
        </w:rPr>
        <w:t>August</w:t>
      </w:r>
      <w:r>
        <w:rPr>
          <w:rFonts w:ascii="Arial" w:hAnsi="Arial" w:eastAsia="宋体" w:cs="Arial"/>
          <w:b/>
          <w:sz w:val="24"/>
          <w:szCs w:val="24"/>
          <w:lang w:eastAsia="zh-CN"/>
        </w:rPr>
        <w:t xml:space="preserve"> </w:t>
      </w:r>
      <w:r>
        <w:rPr>
          <w:rFonts w:hint="eastAsia" w:ascii="Arial" w:hAnsi="Arial" w:cs="Arial"/>
          <w:b/>
          <w:sz w:val="24"/>
          <w:szCs w:val="24"/>
          <w:lang w:val="en-US" w:eastAsia="zh-CN"/>
        </w:rPr>
        <w:t>25</w:t>
      </w:r>
      <w:r>
        <w:rPr>
          <w:rFonts w:ascii="Arial" w:hAnsi="Arial" w:eastAsia="宋体" w:cs="Arial"/>
          <w:b/>
          <w:sz w:val="24"/>
          <w:szCs w:val="24"/>
          <w:lang w:eastAsia="zh-CN"/>
        </w:rPr>
        <w:t>, 202</w:t>
      </w:r>
      <w:r>
        <w:rPr>
          <w:rFonts w:hint="eastAsia" w:ascii="Arial" w:hAnsi="Arial" w:cs="Arial"/>
          <w:b/>
          <w:sz w:val="24"/>
          <w:szCs w:val="24"/>
          <w:lang w:val="en-US" w:eastAsia="zh-CN"/>
        </w:rPr>
        <w:t>3</w:t>
      </w:r>
    </w:p>
    <w:bookmarkEnd w:id="0"/>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 xml:space="preserve">Discussion on </w:t>
      </w:r>
      <w:r>
        <w:rPr>
          <w:rFonts w:hint="eastAsia" w:cs="Times New Roman"/>
          <w:b/>
          <w:bCs w:val="0"/>
          <w:color w:val="auto"/>
          <w:sz w:val="24"/>
          <w:szCs w:val="24"/>
          <w:highlight w:val="none"/>
          <w:lang w:val="en-US" w:eastAsia="zh-CN"/>
        </w:rPr>
        <w:t>MSR BS EMC test simplification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8.17.2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Discussion</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keepNext/>
        <w:keepLines/>
        <w:pageBreakBefore w:val="0"/>
        <w:widowControl/>
        <w:kinsoku/>
        <w:wordWrap/>
        <w:overflowPunct/>
        <w:topLinePunct w:val="0"/>
        <w:autoSpaceDE/>
        <w:autoSpaceDN/>
        <w:bidi w:val="0"/>
        <w:adjustRightInd/>
        <w:spacing w:beforeLines="-2147483648" w:after="180" w:afterLines="-2147483648" w:line="240" w:lineRule="auto"/>
        <w:jc w:val="left"/>
        <w:textAlignment w:val="auto"/>
        <w:rPr>
          <w:rFonts w:hint="eastAsia" w:cs="Times New Roman"/>
          <w:b w:val="0"/>
          <w:bCs w:val="0"/>
          <w:color w:val="auto"/>
          <w:kern w:val="0"/>
          <w:sz w:val="20"/>
          <w:szCs w:val="20"/>
          <w:lang w:val="en-US" w:eastAsia="zh-CN"/>
        </w:rPr>
      </w:pPr>
      <w:r>
        <w:rPr>
          <w:rFonts w:hint="eastAsia" w:cs="Times New Roman"/>
          <w:b w:val="0"/>
          <w:bCs w:val="0"/>
          <w:color w:val="auto"/>
          <w:kern w:val="0"/>
          <w:sz w:val="20"/>
          <w:szCs w:val="20"/>
          <w:lang w:val="en-US" w:eastAsia="zh-CN"/>
        </w:rPr>
        <w:t>In RAN4#107 meeting, two open issues in R4-2309861[1] are listed for further study.</w:t>
      </w:r>
    </w:p>
    <w:p>
      <w:pPr>
        <w:spacing w:beforeLines="-2147483648" w:after="180" w:afterLines="-2147483648" w:line="240" w:lineRule="auto"/>
        <w:jc w:val="left"/>
        <w:rPr>
          <w:rFonts w:ascii="Times New Roman" w:hAnsi="Times New Roman" w:eastAsia="宋体" w:cs="Times New Roman"/>
          <w:b/>
          <w:bCs/>
          <w:i/>
          <w:iCs/>
          <w:kern w:val="0"/>
          <w:sz w:val="24"/>
          <w:szCs w:val="24"/>
          <w:lang w:val="en-GB" w:eastAsia="en-US"/>
        </w:rPr>
      </w:pPr>
      <w:r>
        <w:rPr>
          <w:rFonts w:ascii="Times New Roman" w:hAnsi="Times New Roman" w:eastAsia="宋体" w:cs="Times New Roman"/>
          <w:b/>
          <w:bCs/>
          <w:i/>
          <w:iCs/>
          <w:kern w:val="0"/>
          <w:sz w:val="24"/>
          <w:szCs w:val="24"/>
          <w:lang w:val="en-GB" w:eastAsia="en-US"/>
        </w:rPr>
        <w:t>Open issues for further study:</w:t>
      </w:r>
    </w:p>
    <w:p>
      <w:pPr>
        <w:numPr>
          <w:ilvl w:val="0"/>
          <w:numId w:val="8"/>
        </w:numPr>
        <w:spacing w:beforeLines="-2147483648" w:after="180" w:afterLines="-2147483648" w:line="240" w:lineRule="auto"/>
        <w:ind w:left="72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Implementation of manufacturer declaration:</w:t>
      </w:r>
    </w:p>
    <w:p>
      <w:pPr>
        <w:numPr>
          <w:ilvl w:val="1"/>
          <w:numId w:val="8"/>
        </w:numPr>
        <w:spacing w:beforeLines="-2147483648" w:after="180" w:afterLines="-2147483648" w:line="240" w:lineRule="auto"/>
        <w:ind w:left="144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Option 1: Declare the details of MSR BS product.</w:t>
      </w:r>
    </w:p>
    <w:p>
      <w:pPr>
        <w:numPr>
          <w:ilvl w:val="1"/>
          <w:numId w:val="8"/>
        </w:numPr>
        <w:spacing w:beforeLines="-2147483648" w:after="180" w:afterLines="-2147483648" w:line="240" w:lineRule="auto"/>
        <w:ind w:left="144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Option 2: Declare other info, e.g., test cases, etc.</w:t>
      </w:r>
    </w:p>
    <w:p>
      <w:pPr>
        <w:numPr>
          <w:ilvl w:val="1"/>
          <w:numId w:val="8"/>
        </w:numPr>
        <w:spacing w:beforeLines="-2147483648" w:after="180" w:afterLines="-2147483648" w:line="240" w:lineRule="auto"/>
        <w:ind w:left="144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 xml:space="preserve">Other declaration approaches are not precluded – subject to further study. </w:t>
      </w:r>
    </w:p>
    <w:p>
      <w:pPr>
        <w:numPr>
          <w:ilvl w:val="0"/>
          <w:numId w:val="8"/>
        </w:numPr>
        <w:spacing w:beforeLines="-2147483648" w:after="180" w:afterLines="-2147483648" w:line="240" w:lineRule="auto"/>
        <w:ind w:left="72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Investigate the test simplification method for multi-band multi-RAT MSR BS.</w:t>
      </w:r>
    </w:p>
    <w:p>
      <w:pPr>
        <w:numPr>
          <w:ilvl w:val="1"/>
          <w:numId w:val="8"/>
        </w:numPr>
        <w:spacing w:beforeLines="-2147483648" w:after="180" w:afterLines="-2147483648" w:line="240" w:lineRule="auto"/>
        <w:ind w:left="144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Option 1: Reduce RATs within each band.</w:t>
      </w:r>
    </w:p>
    <w:p>
      <w:pPr>
        <w:numPr>
          <w:ilvl w:val="1"/>
          <w:numId w:val="8"/>
        </w:numPr>
        <w:spacing w:beforeLines="-2147483648" w:after="180" w:afterLines="-2147483648" w:line="240" w:lineRule="auto"/>
        <w:ind w:left="144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Option 2: Reduce number of bands tested.</w:t>
      </w:r>
    </w:p>
    <w:p>
      <w:pPr>
        <w:keepNext/>
        <w:keepLines/>
        <w:pageBreakBefore w:val="0"/>
        <w:widowControl/>
        <w:kinsoku/>
        <w:wordWrap/>
        <w:overflowPunct/>
        <w:topLinePunct w:val="0"/>
        <w:autoSpaceDE/>
        <w:autoSpaceDN/>
        <w:bidi w:val="0"/>
        <w:adjustRightInd/>
        <w:spacing w:beforeLines="-2147483648" w:after="180" w:afterLines="-2147483648" w:line="240" w:lineRule="auto"/>
        <w:jc w:val="left"/>
        <w:textAlignment w:val="auto"/>
        <w:rPr>
          <w:rFonts w:hint="default" w:cs="Times New Roman"/>
          <w:b w:val="0"/>
          <w:bCs w:val="0"/>
          <w:color w:val="auto"/>
          <w:kern w:val="0"/>
          <w:sz w:val="20"/>
          <w:szCs w:val="20"/>
          <w:lang w:val="en-US" w:eastAsia="zh-CN"/>
        </w:rPr>
      </w:pPr>
      <w:r>
        <w:rPr>
          <w:rFonts w:hint="eastAsia" w:cs="Times New Roman"/>
          <w:b w:val="0"/>
          <w:bCs w:val="0"/>
          <w:color w:val="auto"/>
          <w:kern w:val="0"/>
          <w:sz w:val="20"/>
          <w:szCs w:val="20"/>
          <w:lang w:val="en-US" w:eastAsia="zh-CN"/>
        </w:rPr>
        <w:t>In this paper, proposals are discussed according to the open issues above.</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eastAsia="宋体" w:cs="Times New Roman"/>
          <w:b w:val="0"/>
          <w:bCs w:val="0"/>
          <w:i w:val="0"/>
          <w:iCs w:val="0"/>
          <w:kern w:val="0"/>
          <w:sz w:val="20"/>
          <w:lang w:val="en-US" w:eastAsia="zh-CN"/>
        </w:rPr>
      </w:pPr>
      <w:r>
        <w:rPr>
          <w:rFonts w:hint="eastAsia" w:cs="Times New Roman"/>
          <w:b w:val="0"/>
          <w:bCs w:val="0"/>
          <w:i w:val="0"/>
          <w:iCs w:val="0"/>
          <w:kern w:val="0"/>
          <w:sz w:val="20"/>
          <w:lang w:val="en-US" w:eastAsia="zh-CN"/>
        </w:rPr>
        <w:t>This paper discuss the open issues in R4-2309861[1] separately.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eastAsia="宋体" w:cs="Times New Roman"/>
          <w:b/>
          <w:bCs/>
          <w:i w:val="0"/>
          <w:iCs w:val="0"/>
          <w:kern w:val="0"/>
          <w:sz w:val="20"/>
          <w:lang w:val="en-US" w:eastAsia="zh-CN"/>
        </w:rPr>
      </w:pPr>
      <w:r>
        <w:rPr>
          <w:rFonts w:hint="eastAsia" w:eastAsia="宋体" w:cs="Times New Roman"/>
          <w:b/>
          <w:bCs/>
          <w:i w:val="0"/>
          <w:iCs w:val="0"/>
          <w:kern w:val="0"/>
          <w:sz w:val="20"/>
          <w:lang w:val="en-US" w:eastAsia="zh-CN"/>
        </w:rPr>
        <w:t xml:space="preserve">2.1 </w:t>
      </w:r>
      <w:r>
        <w:rPr>
          <w:rFonts w:hint="eastAsia" w:cs="Times New Roman"/>
          <w:b/>
          <w:bCs/>
          <w:i w:val="0"/>
          <w:iCs w:val="0"/>
          <w:kern w:val="0"/>
          <w:sz w:val="20"/>
          <w:lang w:val="en-US" w:eastAsia="zh-CN"/>
        </w:rPr>
        <w:t xml:space="preserve">Discussion on implementation of manufacturer declaration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So far some agreements have been reached for this issues in the past meetings in R4-2302990[2], R4-2305912[3] and R4-2309861[1], which are listed below.</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In R4-2302990[2]:</w:t>
      </w:r>
    </w:p>
    <w:p>
      <w:pPr>
        <w:numPr>
          <w:ilvl w:val="0"/>
          <w:numId w:val="9"/>
        </w:numPr>
        <w:spacing w:beforeLines="-2147483648" w:after="180" w:afterLines="-2147483648" w:line="240" w:lineRule="auto"/>
        <w:ind w:left="72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Regarding the BS EMC enhancement of EMC immunity test, introduce the concept of “</w:t>
      </w:r>
      <w:r>
        <w:rPr>
          <w:rFonts w:ascii="Times New Roman" w:hAnsi="Times New Roman" w:eastAsia="宋体" w:cs="Times New Roman"/>
          <w:i/>
          <w:iCs/>
          <w:kern w:val="0"/>
          <w:sz w:val="20"/>
          <w:lang w:val="en-GB" w:eastAsia="en-US"/>
        </w:rPr>
        <w:t>common HW</w:t>
      </w:r>
      <w:r>
        <w:rPr>
          <w:rFonts w:ascii="Times New Roman" w:hAnsi="Times New Roman" w:eastAsia="宋体" w:cs="Times New Roman"/>
          <w:i/>
          <w:iCs/>
          <w:kern w:val="0"/>
          <w:sz w:val="20"/>
          <w:lang w:val="en-US" w:eastAsia="en-US"/>
        </w:rPr>
        <w:t xml:space="preserve">” for </w:t>
      </w:r>
      <w:r>
        <w:rPr>
          <w:rFonts w:ascii="Times New Roman" w:hAnsi="Times New Roman" w:eastAsia="宋体" w:cs="Times New Roman"/>
          <w:i/>
          <w:iCs/>
          <w:kern w:val="0"/>
          <w:sz w:val="20"/>
          <w:lang w:val="en-US" w:eastAsia="zh-CN"/>
        </w:rPr>
        <w:t xml:space="preserve">radio digital unit/baseband, which makes the </w:t>
      </w:r>
      <w:r>
        <w:rPr>
          <w:rFonts w:ascii="Times New Roman" w:hAnsi="Times New Roman" w:eastAsia="宋体" w:cs="Times New Roman"/>
          <w:i/>
          <w:iCs/>
          <w:kern w:val="0"/>
          <w:sz w:val="20"/>
          <w:lang w:val="en-US" w:eastAsia="en-US"/>
        </w:rPr>
        <w:t xml:space="preserve">MSR BS products applicable to EMC enhancement are the subset of MSR BS defined in TS 37.113 [6]. </w:t>
      </w:r>
      <w:r>
        <w:rPr>
          <w:rFonts w:ascii="Times New Roman" w:hAnsi="Times New Roman" w:eastAsia="宋体" w:cs="Times New Roman"/>
          <w:i/>
          <w:iCs/>
          <w:kern w:val="0"/>
          <w:sz w:val="20"/>
          <w:lang w:val="en-US" w:eastAsia="zh-CN"/>
        </w:rPr>
        <w:t>A clear and detailed explanation of</w:t>
      </w:r>
      <w:r>
        <w:rPr>
          <w:rFonts w:hint="eastAsia" w:ascii="Times New Roman" w:hAnsi="Times New Roman" w:eastAsia="宋体" w:cs="Times New Roman"/>
          <w:i/>
          <w:iCs/>
          <w:kern w:val="0"/>
          <w:sz w:val="20"/>
          <w:lang w:val="en-US" w:eastAsia="zh-CN"/>
        </w:rPr>
        <w:t xml:space="preserve"> </w:t>
      </w:r>
      <w:r>
        <w:rPr>
          <w:rFonts w:ascii="Times New Roman" w:hAnsi="Times New Roman" w:eastAsia="宋体" w:cs="Times New Roman"/>
          <w:i/>
          <w:iCs/>
          <w:kern w:val="0"/>
          <w:sz w:val="20"/>
          <w:lang w:val="en-US" w:eastAsia="zh-CN"/>
        </w:rPr>
        <w:t>“</w:t>
      </w:r>
      <w:r>
        <w:rPr>
          <w:rFonts w:hint="eastAsia" w:ascii="Times New Roman" w:hAnsi="Times New Roman" w:eastAsia="宋体" w:cs="Times New Roman"/>
          <w:i/>
          <w:iCs/>
          <w:kern w:val="0"/>
          <w:sz w:val="20"/>
          <w:lang w:val="en-US" w:eastAsia="zh-CN"/>
        </w:rPr>
        <w:t xml:space="preserve">common </w:t>
      </w:r>
      <w:r>
        <w:rPr>
          <w:rFonts w:ascii="Times New Roman" w:hAnsi="Times New Roman" w:eastAsia="宋体" w:cs="Times New Roman"/>
          <w:i/>
          <w:iCs/>
          <w:kern w:val="0"/>
          <w:sz w:val="20"/>
          <w:lang w:val="en-US" w:eastAsia="zh-CN"/>
        </w:rPr>
        <w:t>HW” is FFS</w:t>
      </w:r>
      <w:r>
        <w:rPr>
          <w:rFonts w:hint="eastAsia" w:ascii="Times New Roman" w:hAnsi="Times New Roman" w:eastAsia="宋体" w:cs="Times New Roman"/>
          <w:i/>
          <w:iCs/>
          <w:kern w:val="0"/>
          <w:sz w:val="20"/>
          <w:lang w:val="en-US" w:eastAsia="zh-CN"/>
        </w:rPr>
        <w:t xml:space="preserve">, </w:t>
      </w:r>
      <w:r>
        <w:rPr>
          <w:rFonts w:ascii="Times New Roman" w:hAnsi="Times New Roman" w:eastAsia="宋体" w:cs="Times New Roman"/>
          <w:i/>
          <w:iCs/>
          <w:kern w:val="0"/>
          <w:sz w:val="20"/>
          <w:lang w:val="en-US" w:eastAsia="zh-CN"/>
        </w:rPr>
        <w:t>based on</w:t>
      </w:r>
      <w:r>
        <w:rPr>
          <w:rFonts w:ascii="Times New Roman" w:hAnsi="Times New Roman" w:eastAsia="宋体" w:cs="Times New Roman"/>
          <w:i/>
          <w:iCs/>
          <w:kern w:val="0"/>
          <w:sz w:val="20"/>
          <w:lang w:val="en-US" w:eastAsia="en-US"/>
        </w:rPr>
        <w:t xml:space="preserve"> the existing terminology.</w:t>
      </w:r>
    </w:p>
    <w:p>
      <w:pPr>
        <w:numPr>
          <w:ilvl w:val="0"/>
          <w:numId w:val="9"/>
        </w:numPr>
        <w:spacing w:beforeLines="-2147483648" w:after="180" w:afterLines="-2147483648" w:line="240" w:lineRule="auto"/>
        <w:ind w:left="720" w:hanging="360"/>
        <w:jc w:val="left"/>
        <w:rPr>
          <w:rFonts w:ascii="Times New Roman" w:hAnsi="Times New Roman" w:eastAsia="宋体" w:cs="Times New Roman"/>
          <w:i/>
          <w:iCs/>
          <w:kern w:val="0"/>
          <w:sz w:val="20"/>
          <w:lang w:val="en-GB" w:eastAsia="en-US"/>
        </w:rPr>
      </w:pPr>
      <w:r>
        <w:rPr>
          <w:rFonts w:ascii="Times New Roman" w:hAnsi="Times New Roman" w:eastAsia="宋体" w:cs="Times New Roman"/>
          <w:i/>
          <w:iCs/>
          <w:kern w:val="0"/>
          <w:sz w:val="20"/>
          <w:lang w:val="en-US" w:eastAsia="en-US"/>
        </w:rPr>
        <w:t>F</w:t>
      </w:r>
      <w:r>
        <w:rPr>
          <w:rFonts w:ascii="Times New Roman" w:hAnsi="Times New Roman" w:eastAsia="宋体" w:cs="Times New Roman"/>
          <w:i/>
          <w:iCs/>
          <w:kern w:val="0"/>
          <w:sz w:val="20"/>
          <w:lang w:val="en-GB" w:eastAsia="en-US"/>
        </w:rPr>
        <w:t xml:space="preserve">or MSR BS </w:t>
      </w:r>
      <w:r>
        <w:rPr>
          <w:rFonts w:ascii="Times New Roman" w:hAnsi="Times New Roman" w:eastAsia="宋体" w:cs="Times New Roman"/>
          <w:i/>
          <w:iCs/>
          <w:kern w:val="0"/>
          <w:sz w:val="20"/>
          <w:lang w:val="en-US" w:eastAsia="zh-CN"/>
        </w:rPr>
        <w:t>where RATs are handled in</w:t>
      </w:r>
      <w:r>
        <w:rPr>
          <w:rFonts w:ascii="Times New Roman" w:hAnsi="Times New Roman" w:eastAsia="宋体" w:cs="Times New Roman"/>
          <w:i/>
          <w:iCs/>
          <w:kern w:val="0"/>
          <w:sz w:val="20"/>
          <w:lang w:val="en-GB" w:eastAsia="en-US"/>
        </w:rPr>
        <w:t xml:space="preserve"> </w:t>
      </w:r>
      <w:r>
        <w:rPr>
          <w:rFonts w:ascii="Times New Roman" w:hAnsi="Times New Roman" w:eastAsia="宋体" w:cs="Times New Roman"/>
          <w:i/>
          <w:iCs/>
          <w:kern w:val="0"/>
          <w:sz w:val="20"/>
          <w:lang w:val="en-US" w:eastAsia="en-US"/>
        </w:rPr>
        <w:t>“</w:t>
      </w:r>
      <w:r>
        <w:rPr>
          <w:rFonts w:ascii="Times New Roman" w:hAnsi="Times New Roman" w:eastAsia="宋体" w:cs="Times New Roman"/>
          <w:i/>
          <w:iCs/>
          <w:kern w:val="0"/>
          <w:sz w:val="20"/>
          <w:lang w:val="en-GB" w:eastAsia="en-US"/>
        </w:rPr>
        <w:t>common HW</w:t>
      </w:r>
      <w:r>
        <w:rPr>
          <w:rFonts w:ascii="Times New Roman" w:hAnsi="Times New Roman" w:eastAsia="宋体" w:cs="Times New Roman"/>
          <w:i/>
          <w:iCs/>
          <w:kern w:val="0"/>
          <w:sz w:val="20"/>
          <w:lang w:val="en-US" w:eastAsia="en-US"/>
        </w:rPr>
        <w:t>”, the discussed t</w:t>
      </w:r>
      <w:r>
        <w:rPr>
          <w:rFonts w:ascii="Times New Roman" w:hAnsi="Times New Roman" w:eastAsia="宋体" w:cs="Times New Roman"/>
          <w:i/>
          <w:iCs/>
          <w:kern w:val="0"/>
          <w:sz w:val="20"/>
          <w:lang w:val="en-GB" w:eastAsia="en-US"/>
        </w:rPr>
        <w:t xml:space="preserve">est simplification </w:t>
      </w:r>
      <w:r>
        <w:rPr>
          <w:rFonts w:ascii="Times New Roman" w:hAnsi="Times New Roman" w:eastAsia="宋体" w:cs="Times New Roman"/>
          <w:i/>
          <w:iCs/>
          <w:kern w:val="0"/>
          <w:sz w:val="20"/>
          <w:lang w:val="en-US" w:eastAsia="en-US"/>
        </w:rPr>
        <w:t xml:space="preserve">is an </w:t>
      </w:r>
      <w:r>
        <w:rPr>
          <w:rFonts w:ascii="Times New Roman" w:hAnsi="Times New Roman" w:eastAsia="宋体" w:cs="Times New Roman"/>
          <w:b/>
          <w:bCs/>
          <w:i/>
          <w:iCs/>
          <w:kern w:val="0"/>
          <w:sz w:val="20"/>
          <w:lang w:val="en-US" w:eastAsia="en-US"/>
        </w:rPr>
        <w:t>alternative</w:t>
      </w:r>
      <w:r>
        <w:rPr>
          <w:rFonts w:ascii="Times New Roman" w:hAnsi="Times New Roman" w:eastAsia="宋体" w:cs="Times New Roman"/>
          <w:i/>
          <w:iCs/>
          <w:kern w:val="0"/>
          <w:sz w:val="20"/>
          <w:lang w:val="en-US" w:eastAsia="en-US"/>
        </w:rPr>
        <w:t xml:space="preserve"> of the </w:t>
      </w:r>
      <w:r>
        <w:rPr>
          <w:rFonts w:ascii="Times New Roman" w:hAnsi="Times New Roman" w:eastAsia="宋体" w:cs="Times New Roman"/>
          <w:i/>
          <w:iCs/>
          <w:kern w:val="0"/>
          <w:sz w:val="20"/>
          <w:lang w:val="en-GB" w:eastAsia="en-US"/>
        </w:rPr>
        <w:t>currently existing framework.</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In R4-2305912[3]:</w:t>
      </w:r>
    </w:p>
    <w:p>
      <w:pPr>
        <w:numPr>
          <w:ilvl w:val="0"/>
          <w:numId w:val="9"/>
        </w:numPr>
        <w:overflowPunct w:val="0"/>
        <w:autoSpaceDE w:val="0"/>
        <w:autoSpaceDN w:val="0"/>
        <w:adjustRightInd w:val="0"/>
        <w:spacing w:after="120"/>
        <w:ind w:left="720" w:hanging="360" w:firstLineChars="0"/>
        <w:textAlignment w:val="baseline"/>
        <w:rPr>
          <w:rFonts w:ascii="Times New Roman" w:hAnsi="Times New Roman" w:eastAsia="宋体" w:cs="Times New Roman"/>
          <w:i/>
          <w:iCs/>
          <w:lang w:val="en-US" w:eastAsia="en-US" w:bidi="ar-SA"/>
        </w:rPr>
      </w:pPr>
      <w:r>
        <w:rPr>
          <w:rFonts w:ascii="Times New Roman" w:hAnsi="Times New Roman" w:eastAsia="宋体" w:cs="Times New Roman"/>
          <w:i/>
          <w:iCs/>
          <w:lang w:val="en-US" w:eastAsia="en-US" w:bidi="ar-SA"/>
        </w:rPr>
        <w:t xml:space="preserve">Existing CSs/TCs </w:t>
      </w:r>
      <w:r>
        <w:rPr>
          <w:rFonts w:ascii="Times New Roman" w:hAnsi="Times New Roman" w:eastAsia="宋体" w:cs="Times New Roman"/>
          <w:i/>
          <w:iCs/>
          <w:lang w:val="en-GB" w:eastAsia="zh-CN" w:bidi="ar-SA"/>
        </w:rPr>
        <w:t>in TS 37.141 can cover the outcome of</w:t>
      </w:r>
      <w:r>
        <w:rPr>
          <w:rFonts w:ascii="Times New Roman" w:hAnsi="Times New Roman" w:eastAsia="宋体" w:cs="Times New Roman"/>
          <w:i/>
          <w:iCs/>
          <w:lang w:val="en-US" w:eastAsia="zh-CN" w:bidi="ar-SA"/>
        </w:rPr>
        <w:t xml:space="preserve"> test simplification in TS 37.113 [2]. No new CS/TC is needed.</w:t>
      </w:r>
    </w:p>
    <w:p>
      <w:pPr>
        <w:numPr>
          <w:ilvl w:val="0"/>
          <w:numId w:val="9"/>
        </w:numPr>
        <w:overflowPunct w:val="0"/>
        <w:autoSpaceDE w:val="0"/>
        <w:autoSpaceDN w:val="0"/>
        <w:adjustRightInd w:val="0"/>
        <w:spacing w:after="120"/>
        <w:ind w:left="720" w:hanging="360" w:firstLineChars="0"/>
        <w:textAlignment w:val="baseline"/>
        <w:rPr>
          <w:rFonts w:ascii="Times New Roman" w:hAnsi="Times New Roman" w:eastAsia="宋体" w:cs="Times New Roman"/>
          <w:i/>
          <w:iCs/>
          <w:lang w:val="en-US" w:eastAsia="en-US" w:bidi="ar-SA"/>
        </w:rPr>
      </w:pPr>
      <w:r>
        <w:rPr>
          <w:rFonts w:ascii="Times New Roman" w:hAnsi="Times New Roman" w:eastAsia="宋体" w:cs="Times New Roman"/>
          <w:i/>
          <w:iCs/>
          <w:lang w:val="en-US" w:eastAsia="en-US" w:bidi="ar-SA"/>
        </w:rPr>
        <w:t>[NB-IoT test case(s) cover related GSM test case(s) for EMC immunity requirements. NR/E-UTRA test case(s) cover related UTRA test case(s) for EMC immunity requirements.]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In R4-2309861[1]:</w:t>
      </w:r>
    </w:p>
    <w:p>
      <w:pPr>
        <w:numPr>
          <w:ilvl w:val="0"/>
          <w:numId w:val="10"/>
        </w:numPr>
        <w:spacing w:beforeLines="-2147483648" w:after="180" w:afterLines="-2147483648" w:line="240" w:lineRule="auto"/>
        <w:ind w:left="72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No new term definition for common HW for EMC purposes.</w:t>
      </w:r>
    </w:p>
    <w:p>
      <w:pPr>
        <w:numPr>
          <w:ilvl w:val="0"/>
          <w:numId w:val="10"/>
        </w:numPr>
        <w:spacing w:beforeLines="-2147483648" w:after="180" w:afterLines="-2147483648" w:line="240" w:lineRule="auto"/>
        <w:ind w:left="720" w:hanging="360"/>
        <w:jc w:val="left"/>
        <w:rPr>
          <w:rFonts w:ascii="Times New Roman" w:hAnsi="Times New Roman" w:eastAsia="宋体" w:cs="Times New Roman"/>
          <w:i/>
          <w:iCs/>
          <w:kern w:val="0"/>
          <w:sz w:val="20"/>
          <w:lang w:val="en-US" w:eastAsia="en-US"/>
        </w:rPr>
      </w:pPr>
      <w:r>
        <w:rPr>
          <w:rFonts w:ascii="Times New Roman" w:hAnsi="Times New Roman" w:eastAsia="宋体" w:cs="Times New Roman"/>
          <w:i/>
          <w:iCs/>
          <w:kern w:val="0"/>
          <w:sz w:val="20"/>
          <w:lang w:val="en-US" w:eastAsia="en-US"/>
        </w:rPr>
        <w:t>Use manufacturer declaration for the implementation of the EMC test reduction implementation for MSR BS as well as AAS BS EMC specs. Investigation on how to implement it is FFS.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From the agreements above, we can summarize it into [For common HW MSR BS the test simplification that following the principle of NB-IoT test case cover related GSM test case and NR/E-UTRA test case cover related UTRA test case for EMC immunity requirements can be applied, but the implementation method is still under study.]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Observation 1:</w:t>
      </w:r>
      <w:r>
        <w:rPr>
          <w:rFonts w:hint="eastAsia" w:cs="Times New Roman"/>
          <w:b w:val="0"/>
          <w:bCs w:val="0"/>
          <w:i w:val="0"/>
          <w:iCs w:val="0"/>
          <w:kern w:val="0"/>
          <w:sz w:val="20"/>
          <w:lang w:val="en-US" w:eastAsia="zh-CN"/>
        </w:rPr>
        <w:t xml:space="preserve"> The agreements from past meetings can be summarized into that for common HW MSR BS, the test simplification which following the principle of NB-IoT test case cover related GSM test case and NR/E-UTRA test case cover related UTRA test case for EMC immunity requirements can be applied, but the implementation method is still under study.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Base on the observation above, one implementation method has been illustrated in R4-2308998[4], which is also cooperation with the option 1 in the first open issue of R4-2309861[1] (Declare the details of MSR BS product).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en-US" w:bidi="ar-SA"/>
              </w:rPr>
            </w:pPr>
            <w:r>
              <w:rPr>
                <w:rFonts w:ascii="Arial" w:hAnsi="Arial" w:eastAsia="宋体" w:cs="Times New Roman"/>
                <w:sz w:val="36"/>
                <w:lang w:val="en-GB" w:eastAsia="en-US" w:bidi="ar-SA"/>
              </w:rPr>
              <w:t xml:space="preserve">A.3 Simplified immunity testing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24"/>
                <w:szCs w:val="24"/>
                <w:lang w:val="en-US" w:eastAsia="zh-CN" w:bidi="ar-SA"/>
              </w:rPr>
            </w:pPr>
            <w:r>
              <w:rPr>
                <w:rFonts w:ascii="Arial" w:hAnsi="Arial" w:eastAsia="宋体" w:cs="Times New Roman"/>
                <w:sz w:val="24"/>
                <w:szCs w:val="24"/>
                <w:lang w:val="en-US" w:eastAsia="zh-CN" w:bidi="ar-SA"/>
              </w:rPr>
              <w:t>A.3.1 Conditions for applicability</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This clause is only applicable if the BS is declared to</w:t>
            </w:r>
          </w:p>
          <w:p>
            <w:pPr>
              <w:numPr>
                <w:ilvl w:val="0"/>
                <w:numId w:val="11"/>
              </w:numPr>
              <w:overflowPunct w:val="0"/>
              <w:autoSpaceDE w:val="0"/>
              <w:autoSpaceDN w:val="0"/>
              <w:adjustRightInd w:val="0"/>
              <w:spacing w:after="180"/>
              <w:ind w:left="720" w:hanging="360" w:firstLineChars="0"/>
              <w:textAlignment w:val="baseline"/>
              <w:rPr>
                <w:rFonts w:ascii="Times New Roman" w:hAnsi="Times New Roman" w:eastAsia="宋体" w:cs="Times New Roman"/>
                <w:snapToGrid w:val="0"/>
                <w:lang w:val="en-GB" w:eastAsia="en-US" w:bidi="ar-SA"/>
              </w:rPr>
            </w:pPr>
            <w:r>
              <w:rPr>
                <w:rFonts w:ascii="Times New Roman" w:hAnsi="Times New Roman" w:eastAsia="宋体" w:cs="Times New Roman"/>
                <w:lang w:val="en-GB" w:eastAsia="en-US" w:bidi="ar-SA"/>
              </w:rPr>
              <w:t>employ radio digital unit which has the ability to handle the signals from all RATs in common active components and</w:t>
            </w:r>
          </w:p>
          <w:p>
            <w:pPr>
              <w:numPr>
                <w:ilvl w:val="0"/>
                <w:numId w:val="11"/>
              </w:numPr>
              <w:overflowPunct w:val="0"/>
              <w:autoSpaceDE w:val="0"/>
              <w:autoSpaceDN w:val="0"/>
              <w:adjustRightInd w:val="0"/>
              <w:spacing w:after="180"/>
              <w:ind w:left="720" w:hanging="360" w:firstLineChars="0"/>
              <w:textAlignment w:val="baseline"/>
              <w:rPr>
                <w:rFonts w:ascii="Times New Roman" w:hAnsi="Times New Roman" w:eastAsia="宋体" w:cs="Times New Roman"/>
                <w:snapToGrid w:val="0"/>
                <w:lang w:val="en-US" w:eastAsia="zh-CN" w:bidi="ar-SA"/>
              </w:rPr>
            </w:pPr>
            <w:r>
              <w:rPr>
                <w:rFonts w:ascii="Times New Roman" w:hAnsi="Times New Roman" w:eastAsia="宋体" w:cs="Times New Roman"/>
                <w:lang w:val="en-GB" w:eastAsia="en-US" w:bidi="ar-SA"/>
              </w:rPr>
              <w:t>have no RAT-specific hardware blocks,</w:t>
            </w:r>
            <w:r>
              <w:rPr>
                <w:rFonts w:ascii="Times New Roman" w:hAnsi="Times New Roman" w:eastAsia="宋体" w:cs="Times New Roman"/>
                <w:lang w:val="en-US" w:eastAsia="zh-CN" w:bidi="ar-SA"/>
              </w:rPr>
              <w:t xml:space="preserve"> </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Note: If the above conditions are not met, test configurations in clause 4.5 shall apply.</w:t>
            </w:r>
          </w:p>
          <w:p>
            <w:pPr>
              <w:keepNext/>
              <w:keepLines/>
              <w:pBdr>
                <w:top w:val="none" w:color="auto" w:sz="0" w:space="0"/>
              </w:pBdr>
              <w:overflowPunct w:val="0"/>
              <w:autoSpaceDE w:val="0"/>
              <w:autoSpaceDN w:val="0"/>
              <w:adjustRightInd w:val="0"/>
              <w:spacing w:before="180" w:after="180"/>
              <w:ind w:left="576" w:hanging="576"/>
              <w:textAlignment w:val="baseline"/>
              <w:outlineLvl w:val="1"/>
              <w:rPr>
                <w:rFonts w:ascii="Arial" w:hAnsi="Arial" w:eastAsia="宋体" w:cs="Times New Roman"/>
                <w:sz w:val="24"/>
                <w:szCs w:val="24"/>
                <w:lang w:val="en-GB" w:eastAsia="en-US" w:bidi="ar-SA"/>
              </w:rPr>
            </w:pPr>
            <w:r>
              <w:rPr>
                <w:rFonts w:ascii="Arial" w:hAnsi="Arial" w:eastAsia="宋体" w:cs="Times New Roman"/>
                <w:sz w:val="24"/>
                <w:szCs w:val="24"/>
                <w:lang w:val="en-GB" w:eastAsia="en-US" w:bidi="ar-SA"/>
              </w:rPr>
              <w:t>A.3.2 Test configurations</w:t>
            </w:r>
          </w:p>
          <w:p>
            <w:pPr>
              <w:overflowPunct w:val="0"/>
              <w:autoSpaceDE w:val="0"/>
              <w:autoSpaceDN w:val="0"/>
              <w:adjustRightInd w:val="0"/>
              <w:spacing w:beforeLines="-2147483648" w:after="180" w:afterLines="-2147483648" w:line="276" w:lineRule="auto"/>
              <w:jc w:val="both"/>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 xml:space="preserve">The test configurations (TCx) shall be associated to the sufficient CSs according to tables 4.5-1, 4.5-1a, 4.5-1b and 4.5-1c, instead of the declared CSs in tables A.3-1, A.3-1a, A.3-1b and A.3-1c. </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US" w:bidi="ar-SA"/>
              </w:rPr>
            </w:pPr>
            <w:r>
              <w:rPr>
                <w:rFonts w:ascii="Times New Roman" w:hAnsi="Times New Roman" w:eastAsia="宋体" w:cs="Times New Roman"/>
                <w:lang w:val="en-US" w:eastAsia="zh-CN" w:bidi="ar-SA"/>
              </w:rPr>
              <w:t>Example: A BS declared to support CS9 (corresponding to TC9 in table 4.5-1a) in table A.3-1a, will be tested using TC8 (corresponding to CS8 in table 4.5-2).</w:t>
            </w:r>
          </w:p>
          <w:p>
            <w:pPr>
              <w:overflowPunct w:val="0"/>
              <w:autoSpaceDE w:val="0"/>
              <w:autoSpaceDN w:val="0"/>
              <w:adjustRightInd w:val="0"/>
              <w:spacing w:beforeLines="-2147483648" w:after="180" w:afterLines="-2147483648" w:line="240" w:lineRule="auto"/>
              <w:jc w:val="center"/>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Table A.3-1: Enhancement of test configurations shown in table 4.5-1</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8"/>
              <w:gridCol w:w="1588"/>
              <w:gridCol w:w="1590"/>
              <w:gridCol w:w="1590"/>
              <w:gridCol w:w="1591"/>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pct"/>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Declared Capability Set</w:t>
                  </w:r>
                </w:p>
              </w:tc>
              <w:tc>
                <w:tcPr>
                  <w:tcW w:w="823"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CS3 </w:t>
                  </w:r>
                  <w:r>
                    <w:rPr>
                      <w:rFonts w:ascii="Arial" w:hAnsi="Arial" w:eastAsia="宋体" w:cs="Times New Roman"/>
                      <w:b w:val="0"/>
                      <w:bCs/>
                      <w:sz w:val="12"/>
                      <w:szCs w:val="12"/>
                      <w:lang w:val="sv-FI" w:eastAsia="en-US" w:bidi="ar-SA"/>
                    </w:rPr>
                    <w:t>(U, E, IoT NI/NG)</w:t>
                  </w:r>
                </w:p>
              </w:tc>
              <w:tc>
                <w:tcPr>
                  <w:tcW w:w="824" w:type="pct"/>
                </w:tcPr>
                <w:p>
                  <w:pPr>
                    <w:keepNext/>
                    <w:keepLines/>
                    <w:spacing w:after="0"/>
                    <w:jc w:val="center"/>
                    <w:rPr>
                      <w:rFonts w:ascii="Arial" w:hAnsi="Arial" w:eastAsia="宋体" w:cs="Times New Roman"/>
                      <w:b/>
                      <w:sz w:val="18"/>
                      <w:lang w:val="sv-SE" w:eastAsia="en-US" w:bidi="ar-SA"/>
                    </w:rPr>
                  </w:pPr>
                  <w:r>
                    <w:rPr>
                      <w:rFonts w:ascii="Arial" w:hAnsi="Arial" w:eastAsia="宋体" w:cs="Times New Roman"/>
                      <w:b/>
                      <w:sz w:val="18"/>
                      <w:lang w:val="sv-SE" w:eastAsia="en-US" w:bidi="ar-SA"/>
                    </w:rPr>
                    <w:t xml:space="preserve">CS4 </w:t>
                  </w:r>
                  <w:r>
                    <w:rPr>
                      <w:rFonts w:ascii="Arial" w:hAnsi="Arial" w:eastAsia="宋体" w:cs="Times New Roman"/>
                      <w:b w:val="0"/>
                      <w:bCs/>
                      <w:sz w:val="12"/>
                      <w:szCs w:val="12"/>
                      <w:lang w:val="sv-FI" w:eastAsia="en-US" w:bidi="ar-SA"/>
                    </w:rPr>
                    <w:t>(G, U)</w:t>
                  </w:r>
                </w:p>
              </w:tc>
              <w:tc>
                <w:tcPr>
                  <w:tcW w:w="824"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CS5 </w:t>
                  </w:r>
                  <w:r>
                    <w:rPr>
                      <w:rFonts w:ascii="Arial" w:hAnsi="Arial" w:eastAsia="宋体" w:cs="Times New Roman"/>
                      <w:b w:val="0"/>
                      <w:bCs/>
                      <w:sz w:val="12"/>
                      <w:szCs w:val="12"/>
                      <w:lang w:val="sv-FI" w:eastAsia="en-US" w:bidi="ar-SA"/>
                    </w:rPr>
                    <w:t>(G, E, IoT NI/NG)</w:t>
                  </w:r>
                </w:p>
              </w:tc>
              <w:tc>
                <w:tcPr>
                  <w:tcW w:w="824"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CS6 </w:t>
                  </w:r>
                  <w:r>
                    <w:rPr>
                      <w:rFonts w:ascii="Arial" w:hAnsi="Arial" w:eastAsia="宋体" w:cs="Times New Roman"/>
                      <w:b w:val="0"/>
                      <w:bCs/>
                      <w:sz w:val="12"/>
                      <w:szCs w:val="12"/>
                      <w:lang w:val="sv-FI" w:eastAsia="en-US" w:bidi="ar-SA"/>
                    </w:rPr>
                    <w:t>(G, U, E)</w:t>
                  </w:r>
                </w:p>
              </w:tc>
              <w:tc>
                <w:tcPr>
                  <w:tcW w:w="824" w:type="pct"/>
                </w:tcPr>
                <w:p>
                  <w:pPr>
                    <w:keepNext/>
                    <w:keepLines/>
                    <w:spacing w:after="0"/>
                    <w:jc w:val="center"/>
                    <w:rPr>
                      <w:rFonts w:ascii="Arial" w:hAnsi="Arial" w:eastAsia="宋体" w:cs="Times New Roman"/>
                      <w:b/>
                      <w:sz w:val="18"/>
                      <w:lang w:val="sv-FI" w:eastAsia="en-GB" w:bidi="ar-SA"/>
                    </w:rPr>
                  </w:pPr>
                  <w:r>
                    <w:rPr>
                      <w:rFonts w:ascii="Arial" w:hAnsi="Arial" w:eastAsia="宋体" w:cs="Times New Roman"/>
                      <w:b/>
                      <w:sz w:val="18"/>
                      <w:lang w:val="sv-FI" w:eastAsia="en-GB" w:bidi="ar-SA"/>
                    </w:rPr>
                    <w:t>CS7</w:t>
                  </w:r>
                  <w:r>
                    <w:rPr>
                      <w:rFonts w:ascii="Arial" w:hAnsi="Arial" w:eastAsia="宋体" w:cs="Times New Roman"/>
                      <w:b/>
                      <w:sz w:val="18"/>
                      <w:lang w:val="sv-FI" w:eastAsia="en-US" w:bidi="ar-SA"/>
                    </w:rPr>
                    <w:t xml:space="preserve"> </w:t>
                  </w:r>
                  <w:r>
                    <w:rPr>
                      <w:rFonts w:ascii="Arial" w:hAnsi="Arial" w:eastAsia="宋体" w:cs="Times New Roman"/>
                      <w:b w:val="0"/>
                      <w:bCs/>
                      <w:sz w:val="12"/>
                      <w:szCs w:val="12"/>
                      <w:lang w:val="sv-FI" w:eastAsia="en-US" w:bidi="ar-SA"/>
                    </w:rPr>
                    <w:t>(G, U, E, IoT 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blHeader/>
                <w:jc w:val="center"/>
              </w:trPr>
              <w:tc>
                <w:tcPr>
                  <w:tcW w:w="880" w:type="pct"/>
                  <w:vMerge w:val="restart"/>
                </w:tcPr>
                <w:p>
                  <w:pPr>
                    <w:keepNext/>
                    <w:keepLines/>
                    <w:spacing w:after="0"/>
                    <w:jc w:val="center"/>
                    <w:rPr>
                      <w:rFonts w:ascii="Arial" w:hAnsi="Arial" w:eastAsia="宋体" w:cs="Times New Roman"/>
                      <w:b/>
                      <w:iCs/>
                      <w:sz w:val="18"/>
                      <w:lang w:val="en-GB" w:eastAsia="ja-JP" w:bidi="ar-SA"/>
                    </w:rPr>
                  </w:pPr>
                  <w:r>
                    <w:rPr>
                      <w:rFonts w:ascii="Arial" w:hAnsi="Arial" w:eastAsia="宋体" w:cs="Times New Roman"/>
                      <w:b/>
                      <w:sz w:val="18"/>
                      <w:lang w:val="en-GB" w:eastAsia="ja-JP" w:bidi="ar-SA"/>
                    </w:rPr>
                    <w:t>Sufficient CS for testing</w:t>
                  </w:r>
                </w:p>
              </w:tc>
              <w:tc>
                <w:tcPr>
                  <w:tcW w:w="823" w:type="pct"/>
                  <w:vMerge w:val="restart"/>
                </w:tcPr>
                <w:p>
                  <w:pPr>
                    <w:keepNext/>
                    <w:keepLines/>
                    <w:spacing w:after="0"/>
                    <w:jc w:val="center"/>
                    <w:rPr>
                      <w:rFonts w:ascii="Arial" w:hAnsi="Arial" w:eastAsia="宋体" w:cs="Times New Roman"/>
                      <w:b/>
                      <w:sz w:val="18"/>
                      <w:lang w:val="sv-SE" w:eastAsia="ja-JP" w:bidi="ar-SA"/>
                    </w:rPr>
                  </w:pPr>
                  <w:r>
                    <w:rPr>
                      <w:rFonts w:ascii="Arial" w:hAnsi="Arial" w:eastAsia="宋体" w:cs="Times New Roman"/>
                      <w:b/>
                      <w:sz w:val="18"/>
                      <w:lang w:val="sv-SE" w:eastAsia="ja-JP" w:bidi="ar-SA"/>
                    </w:rPr>
                    <w:t xml:space="preserve">CS2 </w:t>
                  </w:r>
                  <w:r>
                    <w:rPr>
                      <w:rFonts w:ascii="Arial" w:hAnsi="Arial" w:eastAsia="宋体" w:cs="Times New Roman"/>
                      <w:b w:val="0"/>
                      <w:bCs/>
                      <w:sz w:val="12"/>
                      <w:szCs w:val="12"/>
                      <w:lang w:val="sv-FI" w:eastAsia="en-US" w:bidi="ar-SA"/>
                    </w:rPr>
                    <w:t>(E, IoT NI/NG)</w:t>
                  </w:r>
                </w:p>
              </w:tc>
              <w:tc>
                <w:tcPr>
                  <w:tcW w:w="824" w:type="pct"/>
                  <w:vMerge w:val="restart"/>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w:t>
                  </w:r>
                </w:p>
              </w:tc>
              <w:tc>
                <w:tcPr>
                  <w:tcW w:w="824" w:type="pct"/>
                </w:tcPr>
                <w:p>
                  <w:pPr>
                    <w:keepNext/>
                    <w:keepLines/>
                    <w:spacing w:after="0"/>
                    <w:jc w:val="center"/>
                    <w:rPr>
                      <w:rFonts w:ascii="Arial" w:hAnsi="Arial" w:eastAsia="宋体" w:cs="Times New Roman"/>
                      <w:b/>
                      <w:sz w:val="18"/>
                      <w:lang w:val="sv-SE" w:eastAsia="ja-JP" w:bidi="ar-SA"/>
                    </w:rPr>
                  </w:pPr>
                  <w:r>
                    <w:rPr>
                      <w:rFonts w:ascii="Arial" w:hAnsi="Arial" w:eastAsia="宋体" w:cs="Times New Roman"/>
                      <w:b/>
                      <w:sz w:val="18"/>
                      <w:lang w:val="sv-SE" w:eastAsia="ja-JP" w:bidi="ar-SA"/>
                    </w:rPr>
                    <w:t xml:space="preserve">CS2* </w:t>
                  </w:r>
                  <w:r>
                    <w:rPr>
                      <w:rFonts w:ascii="Arial" w:hAnsi="Arial" w:eastAsia="宋体" w:cs="Times New Roman"/>
                      <w:b w:val="0"/>
                      <w:bCs/>
                      <w:sz w:val="12"/>
                      <w:szCs w:val="12"/>
                      <w:lang w:val="sv-FI" w:eastAsia="en-US" w:bidi="ar-SA"/>
                    </w:rPr>
                    <w:t>(E, IoT NI/NG)</w:t>
                  </w:r>
                </w:p>
              </w:tc>
              <w:tc>
                <w:tcPr>
                  <w:tcW w:w="824" w:type="pct"/>
                  <w:vMerge w:val="restart"/>
                </w:tcPr>
                <w:p>
                  <w:pPr>
                    <w:keepNext/>
                    <w:keepLines/>
                    <w:spacing w:after="0"/>
                    <w:jc w:val="center"/>
                    <w:rPr>
                      <w:rFonts w:ascii="Arial" w:hAnsi="Arial" w:eastAsia="宋体" w:cs="Times New Roman"/>
                      <w:b/>
                      <w:sz w:val="18"/>
                      <w:lang w:val="sv-SE" w:eastAsia="ja-JP" w:bidi="ar-SA"/>
                    </w:rPr>
                  </w:pPr>
                  <w:r>
                    <w:rPr>
                      <w:rFonts w:ascii="Arial" w:hAnsi="Arial" w:eastAsia="宋体" w:cs="Times New Roman"/>
                      <w:b/>
                      <w:sz w:val="18"/>
                      <w:lang w:val="sv-SE" w:eastAsia="ja-JP" w:bidi="ar-SA"/>
                    </w:rPr>
                    <w:t>CS5</w:t>
                  </w:r>
                  <w:r>
                    <w:rPr>
                      <w:rFonts w:ascii="Arial" w:hAnsi="Arial" w:eastAsia="宋体" w:cs="Times New Roman"/>
                      <w:b/>
                      <w:sz w:val="18"/>
                      <w:lang w:val="sv-FI" w:eastAsia="en-US" w:bidi="ar-SA"/>
                    </w:rPr>
                    <w:t xml:space="preserve"> </w:t>
                  </w:r>
                  <w:r>
                    <w:rPr>
                      <w:rFonts w:ascii="Arial" w:hAnsi="Arial" w:eastAsia="宋体" w:cs="Times New Roman"/>
                      <w:b w:val="0"/>
                      <w:bCs/>
                      <w:sz w:val="12"/>
                      <w:szCs w:val="12"/>
                      <w:lang w:val="sv-FI" w:eastAsia="en-US" w:bidi="ar-SA"/>
                    </w:rPr>
                    <w:t>(G, E)</w:t>
                  </w:r>
                </w:p>
              </w:tc>
              <w:tc>
                <w:tcPr>
                  <w:tcW w:w="824" w:type="pct"/>
                </w:tcPr>
                <w:p>
                  <w:pPr>
                    <w:keepNext/>
                    <w:keepLines/>
                    <w:spacing w:after="0"/>
                    <w:jc w:val="center"/>
                    <w:rPr>
                      <w:rFonts w:ascii="Arial" w:hAnsi="Arial" w:eastAsia="宋体" w:cs="Times New Roman"/>
                      <w:b/>
                      <w:sz w:val="18"/>
                      <w:lang w:val="sv-SE" w:eastAsia="ja-JP" w:bidi="ar-SA"/>
                    </w:rPr>
                  </w:pPr>
                  <w:r>
                    <w:rPr>
                      <w:rFonts w:ascii="Arial" w:hAnsi="Arial" w:eastAsia="宋体" w:cs="Times New Roman"/>
                      <w:b/>
                      <w:sz w:val="18"/>
                      <w:lang w:val="sv-SE" w:eastAsia="ja-JP" w:bidi="ar-SA"/>
                    </w:rPr>
                    <w:t xml:space="preserve">CS2* </w:t>
                  </w:r>
                  <w:r>
                    <w:rPr>
                      <w:rFonts w:ascii="Arial" w:hAnsi="Arial" w:eastAsia="宋体" w:cs="Times New Roman"/>
                      <w:b w:val="0"/>
                      <w:bCs/>
                      <w:sz w:val="12"/>
                      <w:szCs w:val="12"/>
                      <w:lang w:val="sv-FI" w:eastAsia="en-US" w:bidi="ar-SA"/>
                    </w:rPr>
                    <w:t>(E, IoT 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blHeader/>
                <w:jc w:val="center"/>
              </w:trPr>
              <w:tc>
                <w:tcPr>
                  <w:tcW w:w="880" w:type="pct"/>
                  <w:vMerge w:val="continue"/>
                </w:tcPr>
                <w:p>
                  <w:pPr>
                    <w:keepNext/>
                    <w:keepLines/>
                    <w:spacing w:after="0"/>
                    <w:jc w:val="center"/>
                    <w:rPr>
                      <w:rFonts w:ascii="Arial" w:hAnsi="Arial" w:eastAsia="宋体" w:cs="Times New Roman"/>
                      <w:b/>
                      <w:iCs/>
                      <w:sz w:val="18"/>
                      <w:lang w:val="sv-SE" w:eastAsia="ja-JP" w:bidi="ar-SA"/>
                    </w:rPr>
                  </w:pPr>
                </w:p>
              </w:tc>
              <w:tc>
                <w:tcPr>
                  <w:tcW w:w="823" w:type="pct"/>
                  <w:vMerge w:val="continue"/>
                </w:tcPr>
                <w:p>
                  <w:pPr>
                    <w:keepNext/>
                    <w:keepLines/>
                    <w:spacing w:after="0"/>
                    <w:jc w:val="center"/>
                    <w:rPr>
                      <w:rFonts w:ascii="Arial" w:hAnsi="Arial" w:eastAsia="宋体" w:cs="Times New Roman"/>
                      <w:b/>
                      <w:sz w:val="18"/>
                      <w:lang w:val="sv-SE" w:eastAsia="ja-JP" w:bidi="ar-SA"/>
                    </w:rPr>
                  </w:pPr>
                </w:p>
              </w:tc>
              <w:tc>
                <w:tcPr>
                  <w:tcW w:w="824" w:type="pct"/>
                  <w:vMerge w:val="continue"/>
                </w:tcPr>
                <w:p>
                  <w:pPr>
                    <w:keepNext/>
                    <w:keepLines/>
                    <w:spacing w:after="0"/>
                    <w:jc w:val="center"/>
                    <w:rPr>
                      <w:rFonts w:ascii="Arial" w:hAnsi="Arial" w:eastAsia="宋体" w:cs="Times New Roman"/>
                      <w:b/>
                      <w:sz w:val="18"/>
                      <w:lang w:val="sv-SE" w:eastAsia="ja-JP" w:bidi="ar-SA"/>
                    </w:rPr>
                  </w:pPr>
                </w:p>
              </w:tc>
              <w:tc>
                <w:tcPr>
                  <w:tcW w:w="824" w:type="pct"/>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w:t>
                  </w:r>
                </w:p>
              </w:tc>
              <w:tc>
                <w:tcPr>
                  <w:tcW w:w="824" w:type="pct"/>
                  <w:vMerge w:val="continue"/>
                </w:tcPr>
                <w:p>
                  <w:pPr>
                    <w:keepNext/>
                    <w:keepLines/>
                    <w:spacing w:after="0"/>
                    <w:jc w:val="center"/>
                    <w:rPr>
                      <w:rFonts w:ascii="Arial" w:hAnsi="Arial" w:eastAsia="宋体" w:cs="Times New Roman"/>
                      <w:b/>
                      <w:sz w:val="18"/>
                      <w:lang w:val="en-GB" w:eastAsia="ja-JP" w:bidi="ar-SA"/>
                    </w:rPr>
                  </w:pPr>
                </w:p>
              </w:tc>
              <w:tc>
                <w:tcPr>
                  <w:tcW w:w="824" w:type="pct"/>
                </w:tcPr>
                <w:p>
                  <w:pPr>
                    <w:keepNext/>
                    <w:keepLines/>
                    <w:spacing w:after="0"/>
                    <w:jc w:val="center"/>
                    <w:rPr>
                      <w:rFonts w:ascii="Arial" w:hAnsi="Arial" w:eastAsia="宋体" w:cs="Times New Roman"/>
                      <w:b/>
                      <w:sz w:val="18"/>
                      <w:lang w:val="sv-SE" w:eastAsia="ja-JP" w:bidi="ar-SA"/>
                    </w:rPr>
                  </w:pPr>
                  <w:r>
                    <w:rPr>
                      <w:rFonts w:ascii="Arial" w:hAnsi="Arial" w:eastAsia="宋体" w:cs="Times New Roman"/>
                      <w:b/>
                      <w:sz w:val="18"/>
                      <w:lang w:val="sv-SE" w:eastAsia="ja-JP" w:bidi="ar-SA"/>
                    </w:rPr>
                    <w:t xml:space="preserve">CS5 </w:t>
                  </w:r>
                  <w:r>
                    <w:rPr>
                      <w:rFonts w:ascii="Arial" w:hAnsi="Arial" w:eastAsia="宋体" w:cs="Times New Roman"/>
                      <w:b w:val="0"/>
                      <w:bCs/>
                      <w:sz w:val="12"/>
                      <w:szCs w:val="12"/>
                      <w:lang w:val="sv-FI" w:eastAsia="en-US" w:bidi="ar-SA"/>
                    </w:rPr>
                    <w:t>(G,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blHeader/>
                <w:jc w:val="center"/>
              </w:trPr>
              <w:tc>
                <w:tcPr>
                  <w:tcW w:w="5000" w:type="pct"/>
                  <w:gridSpan w:val="6"/>
                </w:tcPr>
                <w:p>
                  <w:pPr>
                    <w:keepNext/>
                    <w:keepLines/>
                    <w:spacing w:after="0"/>
                    <w:jc w:val="left"/>
                    <w:rPr>
                      <w:rFonts w:ascii="Arial" w:hAnsi="Arial" w:eastAsia="宋体" w:cs="Times New Roman"/>
                      <w:b w:val="0"/>
                      <w:bCs/>
                      <w:sz w:val="18"/>
                      <w:lang w:val="en-US" w:eastAsia="en-GB" w:bidi="ar-SA"/>
                    </w:rPr>
                  </w:pPr>
                  <w:r>
                    <w:rPr>
                      <w:rFonts w:ascii="Arial" w:hAnsi="Arial" w:eastAsia="宋体" w:cs="Times New Roman"/>
                      <w:b w:val="0"/>
                      <w:bCs/>
                      <w:sz w:val="18"/>
                      <w:lang w:val="en-US" w:eastAsia="en-GB" w:bidi="ar-SA"/>
                    </w:rPr>
                    <w:t>NOTE 1: *) means that either NB-IoT in-band or guard band is supported, otherwise, no EMC enhancement for GSM for this CS.</w:t>
                  </w:r>
                </w:p>
                <w:p>
                  <w:pPr>
                    <w:keepNext/>
                    <w:keepLines/>
                    <w:spacing w:after="0"/>
                    <w:jc w:val="left"/>
                    <w:rPr>
                      <w:rFonts w:ascii="Arial" w:hAnsi="Arial" w:eastAsia="宋体" w:cs="Times New Roman"/>
                      <w:b w:val="0"/>
                      <w:bCs/>
                      <w:sz w:val="18"/>
                      <w:lang w:val="en-US" w:eastAsia="ja-JP" w:bidi="ar-SA"/>
                    </w:rPr>
                  </w:pPr>
                  <w:r>
                    <w:rPr>
                      <w:rFonts w:ascii="Arial" w:hAnsi="Arial" w:eastAsia="宋体" w:cs="Times New Roman"/>
                      <w:b w:val="0"/>
                      <w:bCs/>
                      <w:sz w:val="18"/>
                      <w:lang w:val="en-US" w:eastAsia="ja-JP" w:bidi="ar-SA"/>
                    </w:rPr>
                    <w:t>NOTE 2: G, U, E and IoT NI/NG stand for GSM, UTRA, E-UTRA and NB-IoT in-band/guard band.</w:t>
                  </w:r>
                </w:p>
              </w:tc>
            </w:tr>
          </w:tbl>
          <w:p>
            <w:pPr>
              <w:overflowPunct w:val="0"/>
              <w:autoSpaceDE w:val="0"/>
              <w:autoSpaceDN w:val="0"/>
              <w:adjustRightInd w:val="0"/>
              <w:spacing w:beforeLines="-2147483648" w:after="180" w:afterLines="-2147483648" w:line="240" w:lineRule="auto"/>
              <w:jc w:val="center"/>
              <w:textAlignment w:val="baseline"/>
              <w:rPr>
                <w:rFonts w:ascii="Times New Roman" w:hAnsi="Times New Roman" w:eastAsia="宋体" w:cs="Times New Roman"/>
                <w:kern w:val="0"/>
                <w:sz w:val="20"/>
                <w:lang w:val="en-US" w:eastAsia="zh-CN"/>
              </w:rPr>
            </w:pPr>
          </w:p>
          <w:p>
            <w:pPr>
              <w:overflowPunct w:val="0"/>
              <w:autoSpaceDE w:val="0"/>
              <w:autoSpaceDN w:val="0"/>
              <w:adjustRightInd w:val="0"/>
              <w:spacing w:beforeLines="-2147483648" w:after="180" w:afterLines="-2147483648" w:line="240" w:lineRule="auto"/>
              <w:jc w:val="center"/>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Table A.3-1a: Enhancement of test configurations shown in table 4.5-1a</w:t>
            </w:r>
          </w:p>
          <w:tbl>
            <w:tblPr>
              <w:tblStyle w:val="22"/>
              <w:tblW w:w="47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164"/>
              <w:gridCol w:w="1592"/>
              <w:gridCol w:w="1592"/>
              <w:gridCol w:w="1592"/>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blHeader/>
                <w:jc w:val="center"/>
              </w:trPr>
              <w:tc>
                <w:tcPr>
                  <w:tcW w:w="905" w:type="pct"/>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 xml:space="preserve">Declared </w:t>
                  </w:r>
                </w:p>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Capability Set</w:t>
                  </w:r>
                </w:p>
              </w:tc>
              <w:tc>
                <w:tcPr>
                  <w:tcW w:w="633" w:type="pct"/>
                </w:tcPr>
                <w:p>
                  <w:pPr>
                    <w:keepNext/>
                    <w:keepLines/>
                    <w:spacing w:after="0"/>
                    <w:jc w:val="center"/>
                    <w:rPr>
                      <w:rFonts w:ascii="Arial" w:hAnsi="Arial" w:eastAsia="宋体" w:cs="Times New Roman"/>
                      <w:b/>
                      <w:sz w:val="18"/>
                      <w:lang w:val="sv-SE" w:eastAsia="en-US" w:bidi="ar-SA"/>
                    </w:rPr>
                  </w:pPr>
                  <w:r>
                    <w:rPr>
                      <w:rFonts w:ascii="Arial" w:hAnsi="Arial" w:eastAsia="宋体" w:cs="Times New Roman"/>
                      <w:b/>
                      <w:sz w:val="18"/>
                      <w:lang w:val="sv-SE" w:eastAsia="en-US" w:bidi="ar-SA"/>
                    </w:rPr>
                    <w:t xml:space="preserve">CS9 </w:t>
                  </w:r>
                  <w:r>
                    <w:rPr>
                      <w:rFonts w:ascii="Arial" w:hAnsi="Arial" w:eastAsia="宋体" w:cs="Times New Roman"/>
                      <w:b w:val="0"/>
                      <w:bCs/>
                      <w:sz w:val="12"/>
                      <w:szCs w:val="12"/>
                      <w:lang w:val="sv-FI" w:eastAsia="en-US" w:bidi="ar-SA"/>
                    </w:rPr>
                    <w:t>(G, IoT SA)</w:t>
                  </w:r>
                </w:p>
              </w:tc>
              <w:tc>
                <w:tcPr>
                  <w:tcW w:w="866" w:type="pct"/>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 xml:space="preserve">CS10 </w:t>
                  </w:r>
                  <w:r>
                    <w:rPr>
                      <w:rFonts w:ascii="Arial" w:hAnsi="Arial" w:eastAsia="宋体" w:cs="Times New Roman"/>
                      <w:b w:val="0"/>
                      <w:bCs/>
                      <w:sz w:val="12"/>
                      <w:szCs w:val="12"/>
                      <w:lang w:val="sv-FI" w:eastAsia="en-US" w:bidi="ar-SA"/>
                    </w:rPr>
                    <w:t>(U, IoT SA)</w:t>
                  </w:r>
                </w:p>
              </w:tc>
              <w:tc>
                <w:tcPr>
                  <w:tcW w:w="866"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CS11 </w:t>
                  </w:r>
                  <w:r>
                    <w:rPr>
                      <w:rFonts w:ascii="Arial" w:hAnsi="Arial" w:eastAsia="宋体" w:cs="Times New Roman"/>
                      <w:b w:val="0"/>
                      <w:bCs/>
                      <w:sz w:val="12"/>
                      <w:szCs w:val="12"/>
                      <w:lang w:val="sv-FI" w:eastAsia="en-US" w:bidi="ar-SA"/>
                    </w:rPr>
                    <w:t>(E, IoT SA)</w:t>
                  </w:r>
                </w:p>
              </w:tc>
              <w:tc>
                <w:tcPr>
                  <w:tcW w:w="866"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CS12 </w:t>
                  </w:r>
                  <w:r>
                    <w:rPr>
                      <w:rFonts w:ascii="Arial" w:hAnsi="Arial" w:eastAsia="宋体" w:cs="Times New Roman"/>
                      <w:b w:val="0"/>
                      <w:bCs/>
                      <w:sz w:val="12"/>
                      <w:szCs w:val="12"/>
                      <w:lang w:val="sv-FI" w:eastAsia="en-US" w:bidi="ar-SA"/>
                    </w:rPr>
                    <w:t>(G, U, IoT SA)</w:t>
                  </w:r>
                </w:p>
              </w:tc>
              <w:tc>
                <w:tcPr>
                  <w:tcW w:w="865"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CS13 </w:t>
                  </w:r>
                  <w:r>
                    <w:rPr>
                      <w:rFonts w:ascii="Arial" w:hAnsi="Arial" w:eastAsia="宋体" w:cs="Times New Roman"/>
                      <w:b w:val="0"/>
                      <w:bCs/>
                      <w:sz w:val="12"/>
                      <w:szCs w:val="12"/>
                      <w:lang w:val="sv-FI" w:eastAsia="en-US" w:bidi="ar-SA"/>
                    </w:rPr>
                    <w:t>(G, E, IoT 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5" w:type="pct"/>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ja-JP" w:bidi="ar-SA"/>
                    </w:rPr>
                    <w:t>Sufficient CS for testing</w:t>
                  </w:r>
                </w:p>
              </w:tc>
              <w:tc>
                <w:tcPr>
                  <w:tcW w:w="633" w:type="pct"/>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 xml:space="preserve">CS8 </w:t>
                  </w:r>
                  <w:r>
                    <w:rPr>
                      <w:rFonts w:ascii="Arial" w:hAnsi="Arial" w:eastAsia="宋体" w:cs="Times New Roman"/>
                      <w:b w:val="0"/>
                      <w:bCs/>
                      <w:sz w:val="12"/>
                      <w:szCs w:val="12"/>
                      <w:lang w:val="sv-FI" w:eastAsia="en-US" w:bidi="ar-SA"/>
                    </w:rPr>
                    <w:t>(IoT SA)</w:t>
                  </w:r>
                </w:p>
              </w:tc>
              <w:tc>
                <w:tcPr>
                  <w:tcW w:w="866" w:type="pct"/>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w:t>
                  </w:r>
                </w:p>
              </w:tc>
              <w:tc>
                <w:tcPr>
                  <w:tcW w:w="866"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w:t>
                  </w:r>
                </w:p>
              </w:tc>
              <w:tc>
                <w:tcPr>
                  <w:tcW w:w="866"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CS10 </w:t>
                  </w:r>
                  <w:r>
                    <w:rPr>
                      <w:rFonts w:ascii="Arial" w:hAnsi="Arial" w:eastAsia="宋体" w:cs="Times New Roman"/>
                      <w:b w:val="0"/>
                      <w:bCs/>
                      <w:sz w:val="12"/>
                      <w:szCs w:val="12"/>
                      <w:lang w:val="sv-FI" w:eastAsia="en-US" w:bidi="ar-SA"/>
                    </w:rPr>
                    <w:t>(U, IoT SA)</w:t>
                  </w:r>
                </w:p>
              </w:tc>
              <w:tc>
                <w:tcPr>
                  <w:tcW w:w="865"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CS11 </w:t>
                  </w:r>
                  <w:r>
                    <w:rPr>
                      <w:rFonts w:ascii="Arial" w:hAnsi="Arial" w:eastAsia="宋体" w:cs="Times New Roman"/>
                      <w:b w:val="0"/>
                      <w:bCs/>
                      <w:sz w:val="12"/>
                      <w:szCs w:val="12"/>
                      <w:lang w:val="sv-FI" w:eastAsia="en-US" w:bidi="ar-SA"/>
                    </w:rPr>
                    <w:t>(E, IoT 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6"/>
                </w:tcPr>
                <w:p>
                  <w:pPr>
                    <w:keepNext/>
                    <w:keepLines/>
                    <w:spacing w:after="0"/>
                    <w:jc w:val="left"/>
                    <w:rPr>
                      <w:rFonts w:ascii="Arial" w:hAnsi="Arial" w:eastAsia="宋体" w:cs="Times New Roman"/>
                      <w:b/>
                      <w:sz w:val="18"/>
                      <w:lang w:val="en-US" w:eastAsia="en-US" w:bidi="ar-SA"/>
                    </w:rPr>
                  </w:pPr>
                  <w:r>
                    <w:rPr>
                      <w:rFonts w:ascii="Arial" w:hAnsi="Arial" w:eastAsia="宋体" w:cs="Times New Roman"/>
                      <w:b w:val="0"/>
                      <w:bCs/>
                      <w:sz w:val="18"/>
                      <w:lang w:val="en-US" w:eastAsia="ja-JP" w:bidi="ar-SA"/>
                    </w:rPr>
                    <w:t>NOTE 1: G, U, E and IoT SA stand for GSM, UTRA, E-UTRA and NB-IoT standalone.</w:t>
                  </w:r>
                </w:p>
              </w:tc>
            </w:tr>
          </w:tbl>
          <w:p>
            <w:pPr>
              <w:overflowPunct w:val="0"/>
              <w:autoSpaceDE w:val="0"/>
              <w:autoSpaceDN w:val="0"/>
              <w:adjustRightInd w:val="0"/>
              <w:spacing w:beforeLines="-2147483648" w:after="180" w:afterLines="-2147483648" w:line="276" w:lineRule="auto"/>
              <w:jc w:val="both"/>
              <w:textAlignment w:val="baseline"/>
              <w:rPr>
                <w:rFonts w:ascii="Times New Roman" w:hAnsi="Times New Roman" w:eastAsia="宋体" w:cs="Times New Roman"/>
                <w:kern w:val="0"/>
                <w:sz w:val="20"/>
                <w:lang w:val="en-US" w:eastAsia="zh-CN"/>
              </w:rPr>
            </w:pPr>
          </w:p>
          <w:p>
            <w:pPr>
              <w:overflowPunct w:val="0"/>
              <w:autoSpaceDE w:val="0"/>
              <w:autoSpaceDN w:val="0"/>
              <w:adjustRightInd w:val="0"/>
              <w:spacing w:beforeLines="-2147483648" w:after="180" w:afterLines="-2147483648" w:line="240" w:lineRule="auto"/>
              <w:jc w:val="center"/>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Table A.3-1b: Enhancement of test configurations shown in table 4.5-1b</w:t>
            </w:r>
          </w:p>
          <w:tbl>
            <w:tblPr>
              <w:tblStyle w:val="22"/>
              <w:tblW w:w="41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609"/>
              <w:gridCol w:w="1609"/>
              <w:gridCol w:w="1607"/>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7" w:type="pct"/>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 xml:space="preserve">Declared </w:t>
                  </w:r>
                </w:p>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Capability Set</w:t>
                  </w:r>
                </w:p>
              </w:tc>
              <w:tc>
                <w:tcPr>
                  <w:tcW w:w="994"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CS14 </w:t>
                  </w:r>
                  <w:r>
                    <w:rPr>
                      <w:rFonts w:ascii="Arial" w:hAnsi="Arial" w:eastAsia="宋体" w:cs="Times New Roman"/>
                      <w:b w:val="0"/>
                      <w:bCs/>
                      <w:sz w:val="12"/>
                      <w:szCs w:val="12"/>
                      <w:lang w:val="sv-FI" w:eastAsia="en-US" w:bidi="ar-SA"/>
                    </w:rPr>
                    <w:t>(U, E, IoT SA)</w:t>
                  </w:r>
                </w:p>
              </w:tc>
              <w:tc>
                <w:tcPr>
                  <w:tcW w:w="994"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CS15 </w:t>
                  </w:r>
                  <w:r>
                    <w:rPr>
                      <w:rFonts w:ascii="Arial" w:hAnsi="Arial" w:eastAsia="宋体" w:cs="Times New Roman"/>
                      <w:b w:val="0"/>
                      <w:bCs/>
                      <w:sz w:val="12"/>
                      <w:szCs w:val="12"/>
                      <w:lang w:val="sv-FI" w:eastAsia="en-US" w:bidi="ar-SA"/>
                    </w:rPr>
                    <w:t>(G, U, E, IoT SA)</w:t>
                  </w:r>
                </w:p>
              </w:tc>
              <w:tc>
                <w:tcPr>
                  <w:tcW w:w="993"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CS16 </w:t>
                  </w:r>
                  <w:r>
                    <w:rPr>
                      <w:rFonts w:ascii="Arial" w:hAnsi="Arial" w:eastAsia="宋体" w:cs="Times New Roman"/>
                      <w:b w:val="0"/>
                      <w:bCs/>
                      <w:sz w:val="12"/>
                      <w:szCs w:val="12"/>
                      <w:lang w:val="sv-FI" w:eastAsia="en-US" w:bidi="ar-SA"/>
                    </w:rPr>
                    <w:t>(N, E, IoT NI/NG)</w:t>
                  </w:r>
                </w:p>
              </w:tc>
              <w:tc>
                <w:tcPr>
                  <w:tcW w:w="992" w:type="pct"/>
                </w:tcPr>
                <w:p>
                  <w:pPr>
                    <w:keepNext/>
                    <w:keepLines/>
                    <w:spacing w:after="0"/>
                    <w:jc w:val="center"/>
                    <w:rPr>
                      <w:rFonts w:ascii="Arial" w:hAnsi="Arial" w:eastAsia="宋体" w:cs="Times New Roman"/>
                      <w:b/>
                      <w:sz w:val="18"/>
                      <w:lang w:val="sv-SE" w:eastAsia="en-US" w:bidi="ar-SA"/>
                    </w:rPr>
                  </w:pPr>
                  <w:r>
                    <w:rPr>
                      <w:rFonts w:ascii="Arial" w:hAnsi="Arial" w:eastAsia="宋体" w:cs="Times New Roman"/>
                      <w:b/>
                      <w:sz w:val="18"/>
                      <w:lang w:val="sv-SE" w:eastAsia="en-US" w:bidi="ar-SA"/>
                    </w:rPr>
                    <w:t>CS17</w:t>
                  </w:r>
                  <w:r>
                    <w:rPr>
                      <w:rFonts w:ascii="Arial" w:hAnsi="Arial" w:eastAsia="宋体" w:cs="Times New Roman"/>
                      <w:b/>
                      <w:sz w:val="18"/>
                      <w:lang w:val="sv-FI" w:eastAsia="en-US" w:bidi="ar-SA"/>
                    </w:rPr>
                    <w:t xml:space="preserve"> </w:t>
                  </w:r>
                  <w:r>
                    <w:rPr>
                      <w:rFonts w:ascii="Arial" w:hAnsi="Arial" w:eastAsia="宋体" w:cs="Times New Roman"/>
                      <w:b w:val="0"/>
                      <w:bCs/>
                      <w:sz w:val="12"/>
                      <w:szCs w:val="12"/>
                      <w:lang w:val="sv-FI" w:eastAsia="en-US" w:bidi="ar-SA"/>
                    </w:rPr>
                    <w:t>(N, IoT SA, E, IoT 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7" w:type="pct"/>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ja-JP" w:bidi="ar-SA"/>
                    </w:rPr>
                    <w:t>Sufficient CS for testing</w:t>
                  </w:r>
                </w:p>
              </w:tc>
              <w:tc>
                <w:tcPr>
                  <w:tcW w:w="994"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CS11 </w:t>
                  </w:r>
                  <w:r>
                    <w:rPr>
                      <w:rFonts w:ascii="Arial" w:hAnsi="Arial" w:eastAsia="宋体" w:cs="Times New Roman"/>
                      <w:b w:val="0"/>
                      <w:bCs/>
                      <w:sz w:val="12"/>
                      <w:szCs w:val="12"/>
                      <w:lang w:val="sv-FI" w:eastAsia="en-US" w:bidi="ar-SA"/>
                    </w:rPr>
                    <w:t>(E, IoT SA)</w:t>
                  </w:r>
                </w:p>
              </w:tc>
              <w:tc>
                <w:tcPr>
                  <w:tcW w:w="994"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 xml:space="preserve">CS11 </w:t>
                  </w:r>
                  <w:r>
                    <w:rPr>
                      <w:rFonts w:ascii="Arial" w:hAnsi="Arial" w:eastAsia="宋体" w:cs="Times New Roman"/>
                      <w:b w:val="0"/>
                      <w:bCs/>
                      <w:sz w:val="12"/>
                      <w:szCs w:val="12"/>
                      <w:lang w:val="sv-FI" w:eastAsia="en-US" w:bidi="ar-SA"/>
                    </w:rPr>
                    <w:t>(E, IoT SA)</w:t>
                  </w:r>
                </w:p>
              </w:tc>
              <w:tc>
                <w:tcPr>
                  <w:tcW w:w="993" w:type="pct"/>
                </w:tcPr>
                <w:p>
                  <w:pPr>
                    <w:keepNext/>
                    <w:keepLines/>
                    <w:spacing w:after="0"/>
                    <w:jc w:val="center"/>
                    <w:rPr>
                      <w:rFonts w:ascii="Arial" w:hAnsi="Arial" w:eastAsia="宋体" w:cs="Times New Roman"/>
                      <w:b/>
                      <w:sz w:val="18"/>
                      <w:lang w:val="sv-FI" w:eastAsia="en-US" w:bidi="ar-SA"/>
                    </w:rPr>
                  </w:pPr>
                  <w:r>
                    <w:rPr>
                      <w:rFonts w:ascii="Arial" w:hAnsi="Arial" w:eastAsia="宋体" w:cs="Times New Roman"/>
                      <w:b/>
                      <w:sz w:val="18"/>
                      <w:lang w:val="sv-FI" w:eastAsia="en-US" w:bidi="ar-SA"/>
                    </w:rPr>
                    <w:t>--</w:t>
                  </w:r>
                </w:p>
              </w:tc>
              <w:tc>
                <w:tcPr>
                  <w:tcW w:w="992" w:type="pct"/>
                </w:tcPr>
                <w:p>
                  <w:pPr>
                    <w:keepNext/>
                    <w:keepLines/>
                    <w:spacing w:after="0"/>
                    <w:jc w:val="center"/>
                    <w:rPr>
                      <w:rFonts w:ascii="Arial" w:hAnsi="Arial" w:eastAsia="宋体" w:cs="Times New Roman"/>
                      <w:b/>
                      <w:sz w:val="18"/>
                      <w:lang w:val="sv-SE" w:eastAsia="en-US" w:bidi="ar-SA"/>
                    </w:rPr>
                  </w:pPr>
                  <w:r>
                    <w:rPr>
                      <w:rFonts w:ascii="Arial" w:hAnsi="Arial" w:eastAsia="宋体" w:cs="Times New Roman"/>
                      <w:b/>
                      <w:sz w:val="18"/>
                      <w:lang w:val="sv-SE"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5"/>
                </w:tcPr>
                <w:p>
                  <w:pPr>
                    <w:keepNext/>
                    <w:keepLines/>
                    <w:spacing w:after="0"/>
                    <w:jc w:val="left"/>
                    <w:rPr>
                      <w:rFonts w:ascii="Arial" w:hAnsi="Arial" w:eastAsia="宋体" w:cs="Times New Roman"/>
                      <w:b/>
                      <w:sz w:val="18"/>
                      <w:lang w:val="en-US" w:eastAsia="en-US" w:bidi="ar-SA"/>
                    </w:rPr>
                  </w:pPr>
                  <w:r>
                    <w:rPr>
                      <w:rFonts w:ascii="Arial" w:hAnsi="Arial" w:eastAsia="宋体" w:cs="Times New Roman"/>
                      <w:b w:val="0"/>
                      <w:bCs/>
                      <w:sz w:val="18"/>
                      <w:lang w:val="en-US" w:eastAsia="ja-JP" w:bidi="ar-SA"/>
                    </w:rPr>
                    <w:t>NOTE 1: G, U, E, IoT NI/NG, IoT SA and N stand for GSM, UTRA, E-UTRA, NB-IoT in-band/guard band, NB IoT standalone and NR.</w:t>
                  </w:r>
                </w:p>
              </w:tc>
            </w:tr>
          </w:tbl>
          <w:p>
            <w:pPr>
              <w:overflowPunct w:val="0"/>
              <w:autoSpaceDE w:val="0"/>
              <w:autoSpaceDN w:val="0"/>
              <w:adjustRightInd w:val="0"/>
              <w:spacing w:beforeLines="-2147483648" w:after="180" w:afterLines="-2147483648" w:line="276" w:lineRule="auto"/>
              <w:jc w:val="both"/>
              <w:textAlignment w:val="baseline"/>
              <w:rPr>
                <w:rFonts w:ascii="Times New Roman" w:hAnsi="Times New Roman" w:eastAsia="宋体" w:cs="Times New Roman"/>
                <w:color w:val="FF0000"/>
                <w:kern w:val="0"/>
                <w:sz w:val="20"/>
                <w:lang w:val="en-GB" w:eastAsia="zh-CN"/>
              </w:rPr>
            </w:pPr>
          </w:p>
          <w:p>
            <w:pPr>
              <w:overflowPunct w:val="0"/>
              <w:autoSpaceDE w:val="0"/>
              <w:autoSpaceDN w:val="0"/>
              <w:adjustRightInd w:val="0"/>
              <w:spacing w:beforeLines="-2147483648" w:after="180" w:afterLines="-2147483648" w:line="240" w:lineRule="auto"/>
              <w:jc w:val="center"/>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Table A.3-1c: Enhancement of test configurations shown in table 4.5-1c</w:t>
            </w:r>
          </w:p>
          <w:tbl>
            <w:tblPr>
              <w:tblStyle w:val="22"/>
              <w:tblW w:w="25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607"/>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704" w:type="pct"/>
                </w:tcPr>
                <w:p>
                  <w:pPr>
                    <w:keepNext/>
                    <w:keepLines/>
                    <w:spacing w:beforeLines="-2147483648" w:after="0" w:afterLines="-2147483648" w:line="240" w:lineRule="auto"/>
                    <w:jc w:val="center"/>
                    <w:rPr>
                      <w:rFonts w:ascii="Arial" w:hAnsi="Arial" w:eastAsia="宋体" w:cs="Times New Roman"/>
                      <w:b/>
                      <w:kern w:val="0"/>
                      <w:sz w:val="18"/>
                      <w:lang w:val="en-GB" w:eastAsia="en-US"/>
                    </w:rPr>
                  </w:pPr>
                  <w:r>
                    <w:rPr>
                      <w:rFonts w:ascii="Arial" w:hAnsi="Arial" w:eastAsia="宋体" w:cs="Times New Roman"/>
                      <w:b/>
                      <w:kern w:val="0"/>
                      <w:sz w:val="18"/>
                      <w:lang w:val="en-GB" w:eastAsia="en-US"/>
                    </w:rPr>
                    <w:t xml:space="preserve">Declared </w:t>
                  </w:r>
                </w:p>
                <w:p>
                  <w:pPr>
                    <w:keepNext/>
                    <w:keepLines/>
                    <w:spacing w:beforeLines="-2147483648" w:after="0" w:afterLines="-2147483648" w:line="240" w:lineRule="auto"/>
                    <w:jc w:val="center"/>
                    <w:rPr>
                      <w:rFonts w:ascii="Arial" w:hAnsi="Arial" w:eastAsia="宋体" w:cs="Times New Roman"/>
                      <w:b/>
                      <w:kern w:val="0"/>
                      <w:sz w:val="18"/>
                      <w:lang w:val="en-GB" w:eastAsia="en-US"/>
                    </w:rPr>
                  </w:pPr>
                  <w:r>
                    <w:rPr>
                      <w:rFonts w:ascii="Arial" w:hAnsi="Arial" w:eastAsia="宋体" w:cs="Times New Roman"/>
                      <w:b/>
                      <w:kern w:val="0"/>
                      <w:sz w:val="18"/>
                      <w:lang w:val="en-GB" w:eastAsia="en-US"/>
                    </w:rPr>
                    <w:t>Capability Set</w:t>
                  </w:r>
                </w:p>
              </w:tc>
              <w:tc>
                <w:tcPr>
                  <w:tcW w:w="1647" w:type="pct"/>
                </w:tcPr>
                <w:p>
                  <w:pPr>
                    <w:keepNext/>
                    <w:keepLines/>
                    <w:spacing w:beforeLines="-2147483648" w:after="0" w:afterLines="-2147483648" w:line="240" w:lineRule="auto"/>
                    <w:jc w:val="center"/>
                    <w:rPr>
                      <w:rFonts w:ascii="Arial" w:hAnsi="Arial" w:eastAsia="宋体" w:cs="Times New Roman"/>
                      <w:b/>
                      <w:kern w:val="0"/>
                      <w:sz w:val="18"/>
                      <w:lang w:val="sv-SE" w:eastAsia="zh-CN"/>
                    </w:rPr>
                  </w:pPr>
                  <w:r>
                    <w:rPr>
                      <w:rFonts w:ascii="Arial" w:hAnsi="Arial" w:eastAsia="宋体" w:cs="Times New Roman"/>
                      <w:b/>
                      <w:kern w:val="0"/>
                      <w:sz w:val="18"/>
                      <w:lang w:val="sv-SE" w:eastAsia="zh-CN"/>
                    </w:rPr>
                    <w:t xml:space="preserve">CS18 </w:t>
                  </w:r>
                  <w:r>
                    <w:rPr>
                      <w:rFonts w:ascii="Arial" w:hAnsi="Arial" w:eastAsia="宋体" w:cs="Times New Roman"/>
                      <w:bCs/>
                      <w:kern w:val="0"/>
                      <w:sz w:val="12"/>
                      <w:szCs w:val="12"/>
                      <w:lang w:val="sv-SE" w:eastAsia="zh-CN"/>
                    </w:rPr>
                    <w:t>(G</w:t>
                  </w:r>
                  <w:r>
                    <w:rPr>
                      <w:rFonts w:hint="eastAsia" w:ascii="Arial" w:hAnsi="Arial" w:eastAsia="宋体" w:cs="Times New Roman"/>
                      <w:bCs/>
                      <w:kern w:val="0"/>
                      <w:sz w:val="12"/>
                      <w:szCs w:val="12"/>
                      <w:lang w:val="sv-SE" w:eastAsia="zh-CN"/>
                    </w:rPr>
                    <w:t>,</w:t>
                  </w:r>
                  <w:r>
                    <w:rPr>
                      <w:rFonts w:ascii="Arial" w:hAnsi="Arial" w:eastAsia="宋体" w:cs="Times New Roman"/>
                      <w:bCs/>
                      <w:kern w:val="0"/>
                      <w:sz w:val="12"/>
                      <w:szCs w:val="12"/>
                      <w:lang w:val="sv-SE" w:eastAsia="zh-CN"/>
                    </w:rPr>
                    <w:t xml:space="preserve"> N, E, IoT NI/NG)</w:t>
                  </w:r>
                </w:p>
              </w:tc>
              <w:tc>
                <w:tcPr>
                  <w:tcW w:w="1646" w:type="pct"/>
                </w:tcPr>
                <w:p>
                  <w:pPr>
                    <w:keepNext/>
                    <w:keepLines/>
                    <w:spacing w:beforeLines="-2147483648" w:after="0" w:afterLines="-2147483648" w:line="240" w:lineRule="auto"/>
                    <w:jc w:val="center"/>
                    <w:rPr>
                      <w:rFonts w:ascii="Arial" w:hAnsi="Arial" w:eastAsia="宋体" w:cs="Times New Roman"/>
                      <w:b/>
                      <w:kern w:val="0"/>
                      <w:sz w:val="18"/>
                      <w:lang w:val="sv-SE" w:eastAsia="zh-CN"/>
                    </w:rPr>
                  </w:pPr>
                  <w:r>
                    <w:rPr>
                      <w:rFonts w:ascii="Arial" w:hAnsi="Arial" w:eastAsia="宋体" w:cs="Times New Roman"/>
                      <w:b/>
                      <w:kern w:val="0"/>
                      <w:sz w:val="18"/>
                      <w:lang w:val="sv-SE" w:eastAsia="zh-CN"/>
                    </w:rPr>
                    <w:t xml:space="preserve">CS19 </w:t>
                  </w:r>
                  <w:r>
                    <w:rPr>
                      <w:rFonts w:ascii="Arial" w:hAnsi="Arial" w:eastAsia="宋体" w:cs="Arial"/>
                      <w:kern w:val="0"/>
                      <w:sz w:val="12"/>
                      <w:szCs w:val="12"/>
                      <w:lang w:val="sv-FI" w:eastAsia="en-US"/>
                    </w:rPr>
                    <w:t>(U, N, E, IoT 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blHeader/>
                <w:jc w:val="center"/>
              </w:trPr>
              <w:tc>
                <w:tcPr>
                  <w:tcW w:w="1704" w:type="pct"/>
                  <w:vMerge w:val="restart"/>
                </w:tcPr>
                <w:p>
                  <w:pPr>
                    <w:keepNext/>
                    <w:keepLines/>
                    <w:spacing w:after="0"/>
                    <w:jc w:val="center"/>
                    <w:rPr>
                      <w:rFonts w:ascii="Arial" w:hAnsi="Arial" w:eastAsia="宋体" w:cs="Times New Roman"/>
                      <w:b w:val="0"/>
                      <w:bCs/>
                      <w:sz w:val="18"/>
                      <w:lang w:val="en-GB" w:eastAsia="en-US" w:bidi="ar-SA"/>
                    </w:rPr>
                  </w:pPr>
                  <w:r>
                    <w:rPr>
                      <w:rFonts w:ascii="Arial" w:hAnsi="Arial" w:eastAsia="宋体" w:cs="Times New Roman"/>
                      <w:b/>
                      <w:sz w:val="18"/>
                      <w:lang w:val="en-GB" w:eastAsia="ja-JP" w:bidi="ar-SA"/>
                    </w:rPr>
                    <w:t>Sufficient CS for testing</w:t>
                  </w:r>
                </w:p>
              </w:tc>
              <w:tc>
                <w:tcPr>
                  <w:tcW w:w="1647" w:type="pct"/>
                  <w:vAlign w:val="center"/>
                </w:tcPr>
                <w:p>
                  <w:pPr>
                    <w:keepNext/>
                    <w:keepLines/>
                    <w:spacing w:beforeLines="-2147483648" w:after="0" w:afterLines="-2147483648" w:line="240" w:lineRule="auto"/>
                    <w:jc w:val="center"/>
                    <w:rPr>
                      <w:rFonts w:ascii="Arial" w:hAnsi="Arial" w:eastAsia="宋体" w:cs="Times New Roman"/>
                      <w:b/>
                      <w:kern w:val="0"/>
                      <w:sz w:val="18"/>
                      <w:lang w:val="sv-SE" w:eastAsia="zh-CN"/>
                    </w:rPr>
                  </w:pPr>
                  <w:r>
                    <w:rPr>
                      <w:rFonts w:ascii="Arial" w:hAnsi="Arial" w:eastAsia="宋体" w:cs="Times New Roman"/>
                      <w:b/>
                      <w:kern w:val="0"/>
                      <w:sz w:val="18"/>
                      <w:lang w:val="sv-SE" w:eastAsia="zh-CN"/>
                    </w:rPr>
                    <w:t xml:space="preserve">CS16* </w:t>
                  </w:r>
                  <w:r>
                    <w:rPr>
                      <w:rFonts w:ascii="Arial" w:hAnsi="Arial" w:eastAsia="宋体" w:cs="Arial"/>
                      <w:kern w:val="0"/>
                      <w:sz w:val="12"/>
                      <w:szCs w:val="12"/>
                      <w:lang w:val="sv-FI" w:eastAsia="en-US"/>
                    </w:rPr>
                    <w:t>(N, E, IoT NI/NG)</w:t>
                  </w:r>
                </w:p>
              </w:tc>
              <w:tc>
                <w:tcPr>
                  <w:tcW w:w="1646" w:type="pct"/>
                  <w:vMerge w:val="restart"/>
                  <w:vAlign w:val="center"/>
                </w:tcPr>
                <w:p>
                  <w:pPr>
                    <w:keepNext/>
                    <w:keepLines/>
                    <w:spacing w:beforeLines="-2147483648" w:after="0" w:afterLines="-2147483648" w:line="240" w:lineRule="auto"/>
                    <w:jc w:val="center"/>
                    <w:rPr>
                      <w:rFonts w:ascii="Arial" w:hAnsi="Arial" w:eastAsia="宋体" w:cs="Times New Roman"/>
                      <w:b/>
                      <w:kern w:val="0"/>
                      <w:sz w:val="18"/>
                      <w:lang w:val="sv-SE" w:eastAsia="en-US"/>
                    </w:rPr>
                  </w:pPr>
                  <w:r>
                    <w:rPr>
                      <w:rFonts w:ascii="Arial" w:hAnsi="Arial" w:eastAsia="宋体" w:cs="Times New Roman"/>
                      <w:b/>
                      <w:kern w:val="0"/>
                      <w:sz w:val="18"/>
                      <w:lang w:val="sv-SE" w:eastAsia="en-US"/>
                    </w:rPr>
                    <w:t xml:space="preserve">CS16 </w:t>
                  </w:r>
                  <w:r>
                    <w:rPr>
                      <w:rFonts w:ascii="Arial" w:hAnsi="Arial" w:eastAsia="宋体" w:cs="Times New Roman"/>
                      <w:bCs/>
                      <w:kern w:val="0"/>
                      <w:sz w:val="12"/>
                      <w:szCs w:val="12"/>
                      <w:lang w:val="sv-SE" w:eastAsia="en-US"/>
                    </w:rPr>
                    <w:t>(N, E, IoT 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blHeader/>
                <w:jc w:val="center"/>
              </w:trPr>
              <w:tc>
                <w:tcPr>
                  <w:tcW w:w="1704" w:type="pct"/>
                  <w:vMerge w:val="continue"/>
                </w:tcPr>
                <w:p>
                  <w:pPr>
                    <w:keepNext/>
                    <w:keepLines/>
                    <w:spacing w:beforeLines="-2147483648" w:after="0" w:afterLines="-2147483648" w:line="240" w:lineRule="auto"/>
                    <w:jc w:val="center"/>
                    <w:rPr>
                      <w:rFonts w:ascii="Arial" w:hAnsi="Arial" w:eastAsia="宋体" w:cs="Times New Roman"/>
                      <w:b/>
                      <w:kern w:val="0"/>
                      <w:sz w:val="18"/>
                      <w:lang w:val="sv-SE" w:eastAsia="en-US"/>
                    </w:rPr>
                  </w:pPr>
                </w:p>
              </w:tc>
              <w:tc>
                <w:tcPr>
                  <w:tcW w:w="1647" w:type="pct"/>
                  <w:vAlign w:val="center"/>
                </w:tcPr>
                <w:p>
                  <w:pPr>
                    <w:keepNext/>
                    <w:keepLines/>
                    <w:spacing w:beforeLines="-2147483648" w:after="0" w:afterLines="-2147483648" w:line="240" w:lineRule="auto"/>
                    <w:jc w:val="center"/>
                    <w:rPr>
                      <w:rFonts w:ascii="Arial" w:hAnsi="Arial" w:eastAsia="宋体" w:cs="Times New Roman"/>
                      <w:b/>
                      <w:kern w:val="0"/>
                      <w:sz w:val="18"/>
                      <w:lang w:val="en-US" w:eastAsia="zh-CN"/>
                    </w:rPr>
                  </w:pPr>
                  <w:r>
                    <w:rPr>
                      <w:rFonts w:ascii="Arial" w:hAnsi="Arial" w:eastAsia="宋体" w:cs="Times New Roman"/>
                      <w:b/>
                      <w:kern w:val="0"/>
                      <w:sz w:val="18"/>
                      <w:lang w:val="en-US" w:eastAsia="zh-CN"/>
                    </w:rPr>
                    <w:t>--</w:t>
                  </w:r>
                </w:p>
              </w:tc>
              <w:tc>
                <w:tcPr>
                  <w:tcW w:w="1646" w:type="pct"/>
                  <w:vMerge w:val="continue"/>
                  <w:vAlign w:val="center"/>
                </w:tcPr>
                <w:p>
                  <w:pPr>
                    <w:keepNext/>
                    <w:keepLines/>
                    <w:spacing w:beforeLines="-2147483648" w:after="0" w:afterLines="-2147483648" w:line="240" w:lineRule="auto"/>
                    <w:jc w:val="center"/>
                    <w:rPr>
                      <w:rFonts w:ascii="Arial" w:hAnsi="Arial" w:eastAsia="宋体" w:cs="Times New Roman"/>
                      <w:b/>
                      <w:kern w:val="0"/>
                      <w:sz w:val="18"/>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blHeader/>
                <w:jc w:val="center"/>
              </w:trPr>
              <w:tc>
                <w:tcPr>
                  <w:tcW w:w="5000" w:type="pct"/>
                  <w:gridSpan w:val="3"/>
                </w:tcPr>
                <w:p>
                  <w:pPr>
                    <w:keepNext/>
                    <w:keepLines/>
                    <w:spacing w:after="0"/>
                    <w:jc w:val="left"/>
                    <w:rPr>
                      <w:rFonts w:ascii="Arial" w:hAnsi="Arial" w:eastAsia="宋体" w:cs="Times New Roman"/>
                      <w:b w:val="0"/>
                      <w:bCs/>
                      <w:sz w:val="18"/>
                      <w:lang w:val="en-US" w:eastAsia="ja-JP" w:bidi="ar-SA"/>
                    </w:rPr>
                  </w:pPr>
                  <w:r>
                    <w:rPr>
                      <w:rFonts w:ascii="Arial" w:hAnsi="Arial" w:eastAsia="宋体" w:cs="Times New Roman"/>
                      <w:b w:val="0"/>
                      <w:bCs/>
                      <w:sz w:val="18"/>
                      <w:lang w:val="en-US" w:eastAsia="ja-JP" w:bidi="ar-SA"/>
                    </w:rPr>
                    <w:t>NOTE 1: *) means that either NB-IoT in-band or guard band is supported, otherwise, no EMC enhancement for GSM for this CS.</w:t>
                  </w:r>
                </w:p>
                <w:p>
                  <w:pPr>
                    <w:keepNext/>
                    <w:keepLines/>
                    <w:spacing w:after="0"/>
                    <w:jc w:val="left"/>
                    <w:rPr>
                      <w:rFonts w:ascii="Arial" w:hAnsi="Arial" w:eastAsia="宋体" w:cs="Times New Roman"/>
                      <w:b w:val="0"/>
                      <w:sz w:val="18"/>
                      <w:lang w:val="en-GB" w:eastAsia="en-US" w:bidi="ar-SA"/>
                    </w:rPr>
                  </w:pPr>
                  <w:r>
                    <w:rPr>
                      <w:rFonts w:ascii="Arial" w:hAnsi="Arial" w:eastAsia="宋体" w:cs="Times New Roman"/>
                      <w:b w:val="0"/>
                      <w:bCs/>
                      <w:sz w:val="18"/>
                      <w:lang w:val="en-US" w:eastAsia="ja-JP" w:bidi="ar-SA"/>
                    </w:rPr>
                    <w:t>NOTE 2: G, U, E, IoT NI/NG and N stand for GSM, UTRA, E-UTRA, NB-IoT in-band/guard band and NR.</w:t>
                  </w:r>
                </w:p>
              </w:tc>
            </w:tr>
          </w:tbl>
          <w:p>
            <w:pPr>
              <w:keepLines/>
              <w:overflowPunct w:val="0"/>
              <w:autoSpaceDE w:val="0"/>
              <w:autoSpaceDN w:val="0"/>
              <w:adjustRightInd w:val="0"/>
              <w:spacing w:after="180"/>
              <w:ind w:left="0" w:firstLine="0"/>
              <w:textAlignment w:val="baseline"/>
              <w:rPr>
                <w:rFonts w:ascii="Times New Roman" w:hAnsi="Times New Roman" w:eastAsia="宋体" w:cs="Times New Roman"/>
                <w:lang w:val="en-US" w:eastAsia="en-US" w:bidi="ar-SA"/>
              </w:rPr>
            </w:pP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snapToGrid w:val="0"/>
                <w:kern w:val="0"/>
                <w:sz w:val="20"/>
                <w:lang w:val="en-GB" w:eastAsia="en-US"/>
              </w:rPr>
            </w:pPr>
            <w:r>
              <w:rPr>
                <w:rFonts w:ascii="Times New Roman" w:hAnsi="Times New Roman" w:eastAsia="宋体" w:cs="Times New Roman"/>
                <w:snapToGrid w:val="0"/>
                <w:kern w:val="0"/>
                <w:sz w:val="20"/>
                <w:lang w:val="en-GB" w:eastAsia="en-US"/>
              </w:rPr>
              <w:t>Note: The sufficient set of CSs was derived based on following principles:</w:t>
            </w:r>
          </w:p>
          <w:p>
            <w:pPr>
              <w:numPr>
                <w:ilvl w:val="0"/>
                <w:numId w:val="12"/>
              </w:numPr>
              <w:overflowPunct w:val="0"/>
              <w:autoSpaceDE w:val="0"/>
              <w:autoSpaceDN w:val="0"/>
              <w:adjustRightInd w:val="0"/>
              <w:spacing w:after="180"/>
              <w:ind w:left="720" w:hanging="360" w:firstLineChars="0"/>
              <w:textAlignment w:val="baseline"/>
              <w:rPr>
                <w:rFonts w:ascii="Times New Roman" w:hAnsi="Times New Roman" w:eastAsia="宋体" w:cs="Times New Roman"/>
                <w:snapToGrid w:val="0"/>
                <w:lang w:val="en-GB" w:eastAsia="en-US" w:bidi="ar-SA"/>
              </w:rPr>
            </w:pPr>
            <w:r>
              <w:rPr>
                <w:rFonts w:ascii="Times New Roman" w:hAnsi="Times New Roman" w:eastAsia="宋体" w:cs="Times New Roman"/>
                <w:snapToGrid w:val="0"/>
                <w:lang w:val="en-GB" w:eastAsia="en-US" w:bidi="ar-SA"/>
              </w:rPr>
              <w:t>For BS declared to support both E-UTRA (or NR) and UTRA, UTRA needs not to be configured.</w:t>
            </w:r>
          </w:p>
          <w:p>
            <w:pPr>
              <w:numPr>
                <w:ilvl w:val="0"/>
                <w:numId w:val="12"/>
              </w:numPr>
              <w:overflowPunct w:val="0"/>
              <w:autoSpaceDE w:val="0"/>
              <w:autoSpaceDN w:val="0"/>
              <w:adjustRightInd w:val="0"/>
              <w:spacing w:after="180"/>
              <w:ind w:left="720" w:hanging="360" w:firstLineChars="0"/>
              <w:textAlignment w:val="baseline"/>
              <w:rPr>
                <w:rFonts w:ascii="Times New Roman" w:hAnsi="Times New Roman" w:eastAsia="宋体" w:cs="Times New Roman"/>
                <w:snapToGrid w:val="0"/>
                <w:lang w:val="en-GB" w:eastAsia="en-US" w:bidi="ar-SA"/>
              </w:rPr>
            </w:pPr>
            <w:r>
              <w:rPr>
                <w:rFonts w:ascii="Times New Roman" w:hAnsi="Times New Roman" w:eastAsia="宋体" w:cs="Times New Roman"/>
                <w:snapToGrid w:val="0"/>
                <w:lang w:val="en-GB" w:eastAsia="en-US" w:bidi="ar-SA"/>
              </w:rPr>
              <w:t>For BS declared to support both NB-IoT and GSM, GSM needs not to be configured.</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In R4-2308998[4], a clear and detailed guidance on the implementation method of test simplification has been provided. The total 19 different CSs can be simplified into10 different CSs, which reduce almost half of the existing CSs.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Observation 2:</w:t>
      </w:r>
      <w:r>
        <w:rPr>
          <w:rFonts w:hint="eastAsia" w:cs="Times New Roman"/>
          <w:b w:val="0"/>
          <w:bCs w:val="0"/>
          <w:i w:val="0"/>
          <w:iCs w:val="0"/>
          <w:kern w:val="0"/>
          <w:sz w:val="20"/>
          <w:lang w:val="en-US" w:eastAsia="zh-CN"/>
        </w:rPr>
        <w:t xml:space="preserve"> By implementing the test simplification method in R4-2308998[4], a clear and detailed guidance has been provided and the total 19 different CSs can be simplified into 10 different CSs, which reduce almost half of the existing CSs.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By considering the two observations above, we would like to agree with this implementation method.</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The test simplification method that provided in previous meeting R4-2308998[4] can be take as a starting point.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2.2 Discussion on test simplification for multi-band multi-RAT MSR BS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default" w:cs="Times New Roman"/>
          <w:b w:val="0"/>
          <w:bCs w:val="0"/>
          <w:i w:val="0"/>
          <w:iCs w:val="0"/>
          <w:kern w:val="0"/>
          <w:sz w:val="20"/>
          <w:lang w:eastAsia="zh-CN"/>
        </w:rPr>
        <w:t>In TS37.113</w:t>
      </w:r>
      <w:r>
        <w:rPr>
          <w:rFonts w:hint="eastAsia" w:cs="Times New Roman"/>
          <w:b w:val="0"/>
          <w:bCs w:val="0"/>
          <w:i w:val="0"/>
          <w:iCs w:val="0"/>
          <w:kern w:val="0"/>
          <w:sz w:val="20"/>
          <w:lang w:val="en-US" w:eastAsia="zh-CN"/>
        </w:rPr>
        <w:t>[5]</w:t>
      </w:r>
      <w:r>
        <w:rPr>
          <w:rFonts w:hint="default" w:cs="Times New Roman"/>
          <w:b w:val="0"/>
          <w:bCs w:val="0"/>
          <w:i w:val="0"/>
          <w:iCs w:val="0"/>
          <w:kern w:val="0"/>
          <w:sz w:val="20"/>
          <w:lang w:eastAsia="zh-CN"/>
        </w:rPr>
        <w:t xml:space="preserve"> the test configuration for multi-band multi-RAT of MSR BS is TC7b. The detailed description of TC7b is shown in clause 4.8.7.2.1 in TS37.141</w:t>
      </w:r>
      <w:r>
        <w:rPr>
          <w:rFonts w:hint="eastAsia" w:cs="Times New Roman"/>
          <w:b w:val="0"/>
          <w:bCs w:val="0"/>
          <w:i w:val="0"/>
          <w:iCs w:val="0"/>
          <w:kern w:val="0"/>
          <w:sz w:val="20"/>
          <w:lang w:val="en-US" w:eastAsia="zh-CN"/>
        </w:rPr>
        <w:t>[6]</w:t>
      </w:r>
      <w:r>
        <w:rPr>
          <w:rFonts w:hint="default" w:cs="Times New Roman"/>
          <w:b w:val="0"/>
          <w:bCs w:val="0"/>
          <w:i w:val="0"/>
          <w:iCs w:val="0"/>
          <w:kern w:val="0"/>
          <w:sz w:val="20"/>
          <w:lang w:eastAsia="zh-CN"/>
        </w:rPr>
        <w:t xml:space="preserve">. </w:t>
      </w:r>
      <w:r>
        <w:rPr>
          <w:rFonts w:hint="eastAsia" w:cs="Times New Roman"/>
          <w:b w:val="0"/>
          <w:bCs w:val="0"/>
          <w:i w:val="0"/>
          <w:iCs w:val="0"/>
          <w:kern w:val="0"/>
          <w:sz w:val="20"/>
          <w:lang w:val="en-US" w:eastAsia="zh-CN"/>
        </w:rPr>
        <w:t xml:space="preserve">In TC7b it reuse the test configuration of supporting CSs. Therefore the simplification for RAT aspects shall be same with single-band multi-RAT MSR BS. For multi-band aspect, there is no need to do the simplification from our perspective. This is because multi-band MSR BS will not bring more efforts for EMC test, the lab equipment can monitor the performance metric for different bands at the same time.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Proposal 2:</w:t>
      </w:r>
      <w:r>
        <w:rPr>
          <w:rFonts w:hint="eastAsia" w:cs="Times New Roman"/>
          <w:b w:val="0"/>
          <w:bCs w:val="0"/>
          <w:i w:val="0"/>
          <w:iCs w:val="0"/>
          <w:kern w:val="0"/>
          <w:sz w:val="20"/>
          <w:lang w:val="en-US" w:eastAsia="zh-CN"/>
        </w:rPr>
        <w:t xml:space="preserve"> The test simplification for multi-band multi-RAT MSR BS can focus on RATs simplification based on single-band multi-RAT case and besides there is no need to reduce the test band. </w:t>
      </w:r>
    </w:p>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bookmarkStart w:id="1" w:name="OLE_LINK1"/>
      <w:r>
        <w:rPr>
          <w:rFonts w:hint="default" w:ascii="Times New Roman" w:hAnsi="Times New Roman" w:eastAsia="宋体" w:cs="Times New Roman"/>
          <w:b w:val="0"/>
          <w:bCs w:val="0"/>
          <w:color w:val="auto"/>
          <w:kern w:val="0"/>
          <w:sz w:val="20"/>
          <w:szCs w:val="20"/>
          <w:highlight w:val="none"/>
          <w:lang w:val="en-US" w:eastAsia="zh-CN"/>
        </w:rPr>
        <w:t xml:space="preserve">In this paper, </w:t>
      </w:r>
      <w:r>
        <w:rPr>
          <w:rFonts w:hint="eastAsia" w:cs="Times New Roman"/>
          <w:b w:val="0"/>
          <w:bCs w:val="0"/>
          <w:color w:val="auto"/>
          <w:kern w:val="0"/>
          <w:sz w:val="20"/>
          <w:szCs w:val="20"/>
          <w:highlight w:val="none"/>
          <w:lang w:val="en-US" w:eastAsia="zh-CN"/>
        </w:rPr>
        <w:t>we first discuss the two open issues in R4-2309861[1] separately and then provide our view based on the discussion.</w:t>
      </w:r>
      <w:r>
        <w:rPr>
          <w:rFonts w:hint="eastAsia" w:eastAsia="宋体" w:cs="Times New Roman"/>
          <w:b w:val="0"/>
          <w:bCs w:val="0"/>
          <w:color w:val="auto"/>
          <w:kern w:val="0"/>
          <w:sz w:val="20"/>
          <w:szCs w:val="20"/>
          <w:highlight w:val="none"/>
          <w:lang w:val="en-US" w:eastAsia="zh-CN"/>
        </w:rPr>
        <w:t xml:space="preserve"> T</w:t>
      </w:r>
      <w:r>
        <w:rPr>
          <w:rFonts w:hint="default" w:ascii="Times New Roman" w:hAnsi="Times New Roman" w:eastAsia="宋体" w:cs="Times New Roman"/>
          <w:b w:val="0"/>
          <w:bCs w:val="0"/>
          <w:color w:val="auto"/>
          <w:kern w:val="0"/>
          <w:sz w:val="20"/>
          <w:szCs w:val="20"/>
          <w:highlight w:val="none"/>
          <w:lang w:val="en-US" w:eastAsia="zh-CN"/>
        </w:rPr>
        <w:t>he conclusion</w:t>
      </w:r>
      <w:r>
        <w:rPr>
          <w:rFonts w:hint="eastAsia" w:eastAsia="宋体" w:cs="Times New Roman"/>
          <w:b w:val="0"/>
          <w:bCs w:val="0"/>
          <w:color w:val="auto"/>
          <w:kern w:val="0"/>
          <w:sz w:val="20"/>
          <w:szCs w:val="20"/>
          <w:highlight w:val="none"/>
          <w:lang w:val="en-US" w:eastAsia="zh-CN"/>
        </w:rPr>
        <w:t>s are shown</w:t>
      </w:r>
      <w:r>
        <w:rPr>
          <w:rFonts w:hint="default" w:ascii="Times New Roman" w:hAnsi="Times New Roman" w:eastAsia="宋体" w:cs="Times New Roman"/>
          <w:b w:val="0"/>
          <w:bCs w:val="0"/>
          <w:color w:val="auto"/>
          <w:kern w:val="0"/>
          <w:sz w:val="20"/>
          <w:szCs w:val="20"/>
          <w:highlight w:val="none"/>
          <w:lang w:val="en-US" w:eastAsia="zh-CN"/>
        </w:rPr>
        <w:t xml:space="preserve"> below: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Observation 1:</w:t>
      </w:r>
      <w:r>
        <w:rPr>
          <w:rFonts w:hint="eastAsia" w:cs="Times New Roman"/>
          <w:b w:val="0"/>
          <w:bCs w:val="0"/>
          <w:i w:val="0"/>
          <w:iCs w:val="0"/>
          <w:kern w:val="0"/>
          <w:sz w:val="20"/>
          <w:lang w:val="en-US" w:eastAsia="zh-CN"/>
        </w:rPr>
        <w:t xml:space="preserve"> The agreements from past meetings can be summarized into that for common HW MSR BS, the test simplification which following the principle of NB-IoT test case cover related GSM test case and NR/E-UTRA test case cover related UTRA test case for EMC immunity requirements can be applied, but the implementation method is still under study.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Observation 2:</w:t>
      </w:r>
      <w:r>
        <w:rPr>
          <w:rFonts w:hint="eastAsia" w:cs="Times New Roman"/>
          <w:b w:val="0"/>
          <w:bCs w:val="0"/>
          <w:i w:val="0"/>
          <w:iCs w:val="0"/>
          <w:kern w:val="0"/>
          <w:sz w:val="20"/>
          <w:lang w:val="en-US" w:eastAsia="zh-CN"/>
        </w:rPr>
        <w:t xml:space="preserve"> By implementing the test simplification method in R4-2308998[4], a clear and detailed guidance has been provided and the total 19 different CSs can be simplified into 10 different CSs, which reduce almost half of the existing CSs.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The test simplification method that provided in previous meeting R4-2308998[4] can be take as a starting point.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Proposal 2:</w:t>
      </w:r>
      <w:r>
        <w:rPr>
          <w:rFonts w:hint="eastAsia" w:cs="Times New Roman"/>
          <w:b w:val="0"/>
          <w:bCs w:val="0"/>
          <w:i w:val="0"/>
          <w:iCs w:val="0"/>
          <w:kern w:val="0"/>
          <w:sz w:val="20"/>
          <w:lang w:val="en-US" w:eastAsia="zh-CN"/>
        </w:rPr>
        <w:t xml:space="preserve"> The test simplification for multi-band multi-RAT MSR BS can focus on RATs simplification based on single-band multi-RAT case and besides there is no need to reduce the test band. </w:t>
      </w: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p>
    <w:bookmarkEnd w:id="1"/>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keepNext/>
        <w:keepLines/>
        <w:pageBreakBefore w:val="0"/>
        <w:widowControl/>
        <w:numPr>
          <w:ilvl w:val="0"/>
          <w:numId w:val="13"/>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 xml:space="preserve">R4-2309861 </w:t>
      </w:r>
    </w:p>
    <w:p>
      <w:pPr>
        <w:keepNext/>
        <w:keepLines/>
        <w:pageBreakBefore w:val="0"/>
        <w:widowControl/>
        <w:numPr>
          <w:ilvl w:val="0"/>
          <w:numId w:val="13"/>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default" w:eastAsia="宋体" w:cs="Times New Roman"/>
          <w:color w:val="auto"/>
          <w:kern w:val="2"/>
          <w:sz w:val="22"/>
          <w:highlight w:val="none"/>
          <w:lang w:val="en-US" w:eastAsia="zh-CN"/>
        </w:rPr>
        <w:t>R4-230299</w:t>
      </w:r>
      <w:r>
        <w:rPr>
          <w:rFonts w:hint="eastAsia" w:cs="Times New Roman"/>
          <w:color w:val="auto"/>
          <w:kern w:val="2"/>
          <w:sz w:val="22"/>
          <w:highlight w:val="none"/>
          <w:lang w:val="en-US" w:eastAsia="zh-CN"/>
        </w:rPr>
        <w:t>0</w:t>
      </w:r>
    </w:p>
    <w:p>
      <w:pPr>
        <w:keepNext/>
        <w:keepLines/>
        <w:pageBreakBefore w:val="0"/>
        <w:widowControl/>
        <w:numPr>
          <w:ilvl w:val="0"/>
          <w:numId w:val="13"/>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default" w:eastAsia="宋体" w:cs="Times New Roman"/>
          <w:color w:val="auto"/>
          <w:kern w:val="2"/>
          <w:sz w:val="22"/>
          <w:highlight w:val="none"/>
          <w:lang w:val="en-US" w:eastAsia="zh-CN"/>
        </w:rPr>
        <w:t>R4-2305912</w:t>
      </w:r>
    </w:p>
    <w:p>
      <w:pPr>
        <w:keepNext/>
        <w:keepLines/>
        <w:pageBreakBefore w:val="0"/>
        <w:widowControl/>
        <w:numPr>
          <w:ilvl w:val="0"/>
          <w:numId w:val="13"/>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default" w:eastAsia="宋体" w:cs="Times New Roman"/>
          <w:color w:val="auto"/>
          <w:kern w:val="2"/>
          <w:sz w:val="22"/>
          <w:highlight w:val="none"/>
          <w:lang w:val="en-US" w:eastAsia="zh-CN"/>
        </w:rPr>
        <w:t>R4-2308998</w:t>
      </w:r>
    </w:p>
    <w:p>
      <w:pPr>
        <w:keepNext/>
        <w:keepLines/>
        <w:pageBreakBefore w:val="0"/>
        <w:widowControl/>
        <w:numPr>
          <w:ilvl w:val="0"/>
          <w:numId w:val="13"/>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 37.113</w:t>
      </w:r>
    </w:p>
    <w:p>
      <w:pPr>
        <w:keepNext/>
        <w:keepLines/>
        <w:pageBreakBefore w:val="0"/>
        <w:widowControl/>
        <w:numPr>
          <w:ilvl w:val="0"/>
          <w:numId w:val="13"/>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 37.141</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宋体"/>
          <w:sz w:val="18"/>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02B3E79"/>
    <w:multiLevelType w:val="multilevel"/>
    <w:tmpl w:val="202B3E79"/>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37B0D2F"/>
    <w:multiLevelType w:val="multilevel"/>
    <w:tmpl w:val="437B0D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4B9043F"/>
    <w:multiLevelType w:val="multilevel"/>
    <w:tmpl w:val="54B9043F"/>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5BB7C7D0"/>
    <w:multiLevelType w:val="singleLevel"/>
    <w:tmpl w:val="5BB7C7D0"/>
    <w:lvl w:ilvl="0" w:tentative="0">
      <w:start w:val="1"/>
      <w:numFmt w:val="decimal"/>
      <w:suff w:val="space"/>
      <w:lvlText w:val="[%1]"/>
      <w:lvlJc w:val="left"/>
    </w:lvl>
  </w:abstractNum>
  <w:abstractNum w:abstractNumId="11">
    <w:nsid w:val="60A84EE2"/>
    <w:multiLevelType w:val="multilevel"/>
    <w:tmpl w:val="60A84EE2"/>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A882068"/>
    <w:multiLevelType w:val="multilevel"/>
    <w:tmpl w:val="6A8820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4"/>
  </w:num>
  <w:num w:numId="4">
    <w:abstractNumId w:val="6"/>
  </w:num>
  <w:num w:numId="5">
    <w:abstractNumId w:val="1"/>
  </w:num>
  <w:num w:numId="6">
    <w:abstractNumId w:val="0"/>
  </w:num>
  <w:num w:numId="7">
    <w:abstractNumId w:val="5"/>
  </w:num>
  <w:num w:numId="8">
    <w:abstractNumId w:val="12"/>
  </w:num>
  <w:num w:numId="9">
    <w:abstractNumId w:val="3"/>
  </w:num>
  <w:num w:numId="10">
    <w:abstractNumId w:val="7"/>
  </w:num>
  <w:num w:numId="11">
    <w:abstractNumId w:val="11"/>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60C"/>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41731"/>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6FF4A72"/>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95E34"/>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6525D"/>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74662E"/>
    <w:rsid w:val="15751882"/>
    <w:rsid w:val="1575191B"/>
    <w:rsid w:val="157818C6"/>
    <w:rsid w:val="158D195D"/>
    <w:rsid w:val="159F73BB"/>
    <w:rsid w:val="15B03F28"/>
    <w:rsid w:val="15BD66BF"/>
    <w:rsid w:val="15C526A4"/>
    <w:rsid w:val="15C7513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62353"/>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CE4071"/>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548E9"/>
    <w:rsid w:val="21124D15"/>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281B50"/>
    <w:rsid w:val="294E766A"/>
    <w:rsid w:val="296B203C"/>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64604"/>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8F2290"/>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A603C"/>
    <w:rsid w:val="352821F6"/>
    <w:rsid w:val="3533698A"/>
    <w:rsid w:val="35387F19"/>
    <w:rsid w:val="3539550B"/>
    <w:rsid w:val="35533061"/>
    <w:rsid w:val="356678B4"/>
    <w:rsid w:val="3573649F"/>
    <w:rsid w:val="357E4B0A"/>
    <w:rsid w:val="35866D7F"/>
    <w:rsid w:val="358F6BDF"/>
    <w:rsid w:val="35C06D50"/>
    <w:rsid w:val="35CA3D9E"/>
    <w:rsid w:val="35CD6F14"/>
    <w:rsid w:val="35D24294"/>
    <w:rsid w:val="35D71152"/>
    <w:rsid w:val="35D9208B"/>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A641E"/>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7C0C21"/>
    <w:rsid w:val="3E8227F0"/>
    <w:rsid w:val="3E8316FA"/>
    <w:rsid w:val="3E900915"/>
    <w:rsid w:val="3E937F82"/>
    <w:rsid w:val="3E9B4B40"/>
    <w:rsid w:val="3EB71AC8"/>
    <w:rsid w:val="3EC71336"/>
    <w:rsid w:val="3EC85E34"/>
    <w:rsid w:val="3ECF2AAC"/>
    <w:rsid w:val="3ED0424C"/>
    <w:rsid w:val="3ED07B7E"/>
    <w:rsid w:val="3ED16FB1"/>
    <w:rsid w:val="3EE97947"/>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BD2616"/>
    <w:rsid w:val="40C25A3F"/>
    <w:rsid w:val="40CB14EF"/>
    <w:rsid w:val="40EC7D18"/>
    <w:rsid w:val="40ED11A0"/>
    <w:rsid w:val="40FD1BF0"/>
    <w:rsid w:val="41096BC0"/>
    <w:rsid w:val="410A75B6"/>
    <w:rsid w:val="410B452A"/>
    <w:rsid w:val="41146D26"/>
    <w:rsid w:val="413353F1"/>
    <w:rsid w:val="41513BC9"/>
    <w:rsid w:val="41724E73"/>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719F6"/>
    <w:rsid w:val="454A3E13"/>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70F1D"/>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1F0C9E"/>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1B3CA3"/>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9CB"/>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142FD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8D11ED"/>
    <w:rsid w:val="57A33734"/>
    <w:rsid w:val="57AB6ADD"/>
    <w:rsid w:val="57AC2A28"/>
    <w:rsid w:val="57B7178E"/>
    <w:rsid w:val="57B76EED"/>
    <w:rsid w:val="57BD72A7"/>
    <w:rsid w:val="57BE5838"/>
    <w:rsid w:val="57D82354"/>
    <w:rsid w:val="57FC07D9"/>
    <w:rsid w:val="57FF6992"/>
    <w:rsid w:val="580B408B"/>
    <w:rsid w:val="580F1B21"/>
    <w:rsid w:val="58191E63"/>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82E75"/>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AA0B29"/>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0EC6A6B"/>
    <w:rsid w:val="61110088"/>
    <w:rsid w:val="61421EFD"/>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42319"/>
    <w:rsid w:val="62F6011A"/>
    <w:rsid w:val="62FD2BA9"/>
    <w:rsid w:val="6327422B"/>
    <w:rsid w:val="6328597C"/>
    <w:rsid w:val="632F2F8E"/>
    <w:rsid w:val="633B249F"/>
    <w:rsid w:val="63552D76"/>
    <w:rsid w:val="6359778B"/>
    <w:rsid w:val="635B63E3"/>
    <w:rsid w:val="638C3395"/>
    <w:rsid w:val="63927E66"/>
    <w:rsid w:val="63B82D87"/>
    <w:rsid w:val="63BA3154"/>
    <w:rsid w:val="63CA2E8B"/>
    <w:rsid w:val="63D4153E"/>
    <w:rsid w:val="63DC7755"/>
    <w:rsid w:val="63E05970"/>
    <w:rsid w:val="63E43D21"/>
    <w:rsid w:val="63E477F1"/>
    <w:rsid w:val="63F47D2A"/>
    <w:rsid w:val="63FE2D33"/>
    <w:rsid w:val="64046427"/>
    <w:rsid w:val="64264A79"/>
    <w:rsid w:val="64304E58"/>
    <w:rsid w:val="64311867"/>
    <w:rsid w:val="64391ED3"/>
    <w:rsid w:val="6445632E"/>
    <w:rsid w:val="644D3D02"/>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CF7349"/>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BEE54B3"/>
    <w:rsid w:val="6C0858B3"/>
    <w:rsid w:val="6C240DF3"/>
    <w:rsid w:val="6C45610F"/>
    <w:rsid w:val="6C59472D"/>
    <w:rsid w:val="6C5A4564"/>
    <w:rsid w:val="6C603744"/>
    <w:rsid w:val="6C610784"/>
    <w:rsid w:val="6C637CCF"/>
    <w:rsid w:val="6C731C6C"/>
    <w:rsid w:val="6C7802EB"/>
    <w:rsid w:val="6C89456C"/>
    <w:rsid w:val="6CA20D5B"/>
    <w:rsid w:val="6CAB15F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9E6318"/>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16CC9"/>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819F2"/>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151CF1"/>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0081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11A1B"/>
    <w:rsid w:val="7AC73DFD"/>
    <w:rsid w:val="7AD11709"/>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7043F"/>
    <w:rsid w:val="7C8A7CDC"/>
    <w:rsid w:val="7C9E5A24"/>
    <w:rsid w:val="7CB4006B"/>
    <w:rsid w:val="7CB93ABB"/>
    <w:rsid w:val="7CBE35CA"/>
    <w:rsid w:val="7CE656F0"/>
    <w:rsid w:val="7CED34FF"/>
    <w:rsid w:val="7CEE5458"/>
    <w:rsid w:val="7CF26588"/>
    <w:rsid w:val="7CF565D7"/>
    <w:rsid w:val="7CFA3A46"/>
    <w:rsid w:val="7D0F5720"/>
    <w:rsid w:val="7D1F2914"/>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1F3A66"/>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1038</TotalTime>
  <ScaleCrop>false</ScaleCrop>
  <LinksUpToDate>false</LinksUpToDate>
  <CharactersWithSpaces>4041</CharactersWithSpaces>
  <Application>WPS Office_11.8.2.12018_F1E327BC-269C-435d-A152-05C5408002CA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ZTE(Xiangwei Jing)</cp:lastModifiedBy>
  <dcterms:modified xsi:type="dcterms:W3CDTF">2023-08-11T06:49:29Z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2052-11.8.2.12018</vt:lpwstr>
  </property>
  <property fmtid="{D5CDD505-2E9C-101B-9397-08002B2CF9AE}" pid="3" name="ICV">
    <vt:lpwstr>1A14D99C7E674C1F8571ECDE407DE29D</vt:lpwstr>
  </property>
</Properties>
</file>